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0296"/>
      </w:tblGrid>
      <w:tr w:rsidR="0062152B" w:rsidRPr="00016073" w:rsidTr="002F0566">
        <w:tc>
          <w:tcPr>
            <w:tcW w:w="5000" w:type="pct"/>
            <w:shd w:val="clear" w:color="auto" w:fill="002060"/>
            <w:vAlign w:val="center"/>
          </w:tcPr>
          <w:p w:rsidR="0062152B" w:rsidRPr="004173FA" w:rsidRDefault="004173FA" w:rsidP="002F0566">
            <w:pPr>
              <w:spacing w:before="120" w:after="200" w:line="276" w:lineRule="auto"/>
              <w:rPr>
                <w:rFonts w:ascii="Arial Rounded MT Bold" w:hAnsi="Arial Rounded MT Bold"/>
                <w:b/>
                <w:i/>
                <w:color w:val="F2F2F2" w:themeColor="background1" w:themeShade="F2"/>
                <w:sz w:val="28"/>
                <w:szCs w:val="28"/>
              </w:rPr>
            </w:pPr>
            <w:r>
              <w:rPr>
                <w:rStyle w:val="Heading1Char"/>
              </w:rPr>
              <w:t>Measure Name De.1</w:t>
            </w:r>
            <w:r>
              <w:rPr>
                <w:rStyle w:val="Heading1Char"/>
              </w:rPr>
              <w:br/>
            </w:r>
            <w:r w:rsidR="0062152B" w:rsidRPr="00016073">
              <w:rPr>
                <w:rFonts w:asciiTheme="minorHAnsi" w:hAnsiTheme="minorHAnsi" w:cstheme="minorHAnsi"/>
                <w:i/>
                <w:color w:val="F2F2F2" w:themeColor="background1" w:themeShade="F2"/>
                <w:sz w:val="20"/>
                <w:szCs w:val="20"/>
              </w:rPr>
              <w:t>Briefly convey as much information as possible about the measure focus and target population—abbreviated description</w:t>
            </w:r>
          </w:p>
          <w:p w:rsidR="007F605D" w:rsidRPr="004173FA" w:rsidRDefault="007F605D" w:rsidP="004173FA">
            <w:pPr>
              <w:pStyle w:val="BodyText"/>
            </w:pPr>
            <w:r w:rsidRPr="004173FA">
              <w:t>Percent of Long-Stay Residents Who Received an Antipsychotic (AP) Medication</w:t>
            </w:r>
          </w:p>
        </w:tc>
      </w:tr>
    </w:tbl>
    <w:p w:rsidR="0062152B" w:rsidRPr="004E2B0D" w:rsidRDefault="00BD2EB0" w:rsidP="004E2B0D">
      <w:pPr>
        <w:pStyle w:val="Heading4"/>
      </w:pPr>
      <w:r w:rsidRPr="004E2B0D">
        <w:t>3a</w:t>
      </w:r>
      <w:r w:rsidR="00B309A5" w:rsidRPr="004E2B0D">
        <w:t xml:space="preserve"> </w:t>
      </w:r>
      <w:r w:rsidR="0062152B" w:rsidRPr="004E2B0D">
        <w:t>Measure Information Form (MIF)</w:t>
      </w:r>
    </w:p>
    <w:p w:rsidR="0062152B" w:rsidRPr="00016073" w:rsidRDefault="0062152B" w:rsidP="005922A1">
      <w:pPr>
        <w:pStyle w:val="Heading2"/>
      </w:pPr>
      <w:r w:rsidRPr="00016073">
        <w:t>Data Source</w:t>
      </w:r>
    </w:p>
    <w:p w:rsidR="00262024" w:rsidRPr="00016073" w:rsidRDefault="00262024" w:rsidP="00E81F46">
      <w:pPr>
        <w:pStyle w:val="ListParagraph"/>
        <w:numPr>
          <w:ilvl w:val="0"/>
          <w:numId w:val="3"/>
        </w:numPr>
        <w:autoSpaceDE w:val="0"/>
        <w:autoSpaceDN w:val="0"/>
        <w:adjustRightInd w:val="0"/>
        <w:spacing w:before="0" w:after="0"/>
        <w:rPr>
          <w:rFonts w:asciiTheme="minorHAnsi" w:hAnsiTheme="minorHAnsi" w:cstheme="majorBidi"/>
          <w:color w:val="0000FF"/>
          <w:szCs w:val="20"/>
        </w:rPr>
      </w:pPr>
      <w:r w:rsidRPr="00016073">
        <w:rPr>
          <w:rFonts w:eastAsiaTheme="minorHAnsi"/>
          <w:szCs w:val="20"/>
        </w:rPr>
        <w:t xml:space="preserve">2a1.25-Data Source: </w:t>
      </w:r>
      <w:r w:rsidRPr="00016073">
        <w:rPr>
          <w:rFonts w:eastAsiaTheme="minorHAnsi"/>
          <w:color w:val="0000FF"/>
          <w:szCs w:val="20"/>
        </w:rPr>
        <w:t xml:space="preserve">Nursing Home Minimum Data Set </w:t>
      </w:r>
      <w:r w:rsidR="006D1E06" w:rsidRPr="00016073">
        <w:rPr>
          <w:rFonts w:eastAsiaTheme="minorHAnsi"/>
          <w:color w:val="0000FF"/>
          <w:szCs w:val="20"/>
        </w:rPr>
        <w:t xml:space="preserve">(MDS) </w:t>
      </w:r>
      <w:r w:rsidRPr="00016073">
        <w:rPr>
          <w:rFonts w:eastAsiaTheme="minorHAnsi"/>
          <w:color w:val="0000FF"/>
          <w:szCs w:val="20"/>
        </w:rPr>
        <w:t xml:space="preserve">3.0 </w:t>
      </w:r>
    </w:p>
    <w:p w:rsidR="0062152B" w:rsidRPr="004173FA" w:rsidRDefault="0062152B" w:rsidP="00E81F46">
      <w:pPr>
        <w:pStyle w:val="ListParagraph"/>
        <w:numPr>
          <w:ilvl w:val="0"/>
          <w:numId w:val="3"/>
        </w:numPr>
        <w:autoSpaceDE w:val="0"/>
        <w:autoSpaceDN w:val="0"/>
        <w:adjustRightInd w:val="0"/>
        <w:spacing w:before="0" w:after="0"/>
        <w:rPr>
          <w:rFonts w:eastAsiaTheme="minorHAnsi"/>
          <w:color w:val="0000FF"/>
          <w:szCs w:val="20"/>
        </w:rPr>
      </w:pPr>
      <w:r w:rsidRPr="004173FA">
        <w:rPr>
          <w:rFonts w:eastAsiaTheme="minorHAnsi"/>
          <w:szCs w:val="20"/>
        </w:rPr>
        <w:t xml:space="preserve">2a1.26-Data Source or Collection Instrument </w:t>
      </w:r>
      <w:r w:rsidRPr="004173FA">
        <w:rPr>
          <w:rFonts w:eastAsiaTheme="minorHAnsi"/>
          <w:szCs w:val="20"/>
        </w:rPr>
        <w:br/>
        <w:t>Identify the specific data source or data collection instrument (</w:t>
      </w:r>
      <w:r w:rsidR="003B5EB5" w:rsidRPr="004173FA">
        <w:rPr>
          <w:rFonts w:eastAsiaTheme="minorHAnsi"/>
          <w:szCs w:val="20"/>
        </w:rPr>
        <w:t>for example</w:t>
      </w:r>
      <w:r w:rsidRPr="004173FA">
        <w:rPr>
          <w:rFonts w:eastAsiaTheme="minorHAnsi"/>
          <w:szCs w:val="20"/>
        </w:rPr>
        <w:t>, name of database, clinical registry, collection instrument, etc.)</w:t>
      </w:r>
      <w:r w:rsidR="006D1E06" w:rsidRPr="004173FA">
        <w:rPr>
          <w:rFonts w:eastAsiaTheme="minorHAnsi"/>
          <w:szCs w:val="20"/>
        </w:rPr>
        <w:t xml:space="preserve">: </w:t>
      </w:r>
      <w:r w:rsidR="006D1E06" w:rsidRPr="004173FA">
        <w:rPr>
          <w:rFonts w:eastAsiaTheme="minorHAnsi"/>
          <w:color w:val="0000FF"/>
          <w:szCs w:val="20"/>
        </w:rPr>
        <w:t xml:space="preserve">Nursing Home Minimum Data Set </w:t>
      </w:r>
      <w:r w:rsidR="00E97C14" w:rsidRPr="004173FA">
        <w:rPr>
          <w:rFonts w:eastAsiaTheme="minorHAnsi"/>
          <w:color w:val="0000FF"/>
          <w:szCs w:val="20"/>
        </w:rPr>
        <w:t xml:space="preserve">(MDS) </w:t>
      </w:r>
      <w:r w:rsidR="006D1E06" w:rsidRPr="004173FA">
        <w:rPr>
          <w:rFonts w:eastAsiaTheme="minorHAnsi"/>
          <w:color w:val="0000FF"/>
          <w:szCs w:val="20"/>
        </w:rPr>
        <w:t xml:space="preserve">3.0 </w:t>
      </w:r>
      <w:r w:rsidR="004173FA">
        <w:rPr>
          <w:rFonts w:eastAsiaTheme="minorHAnsi"/>
          <w:color w:val="0000FF"/>
          <w:szCs w:val="20"/>
        </w:rPr>
        <w:br/>
      </w:r>
      <w:r w:rsidR="006D1E06" w:rsidRPr="004173FA">
        <w:rPr>
          <w:rFonts w:eastAsiaTheme="minorHAnsi"/>
          <w:color w:val="0000FF"/>
          <w:szCs w:val="20"/>
        </w:rPr>
        <w:t xml:space="preserve">URL: </w:t>
      </w:r>
      <w:hyperlink r:id="rId12" w:anchor="TopOfPage" w:history="1">
        <w:r w:rsidR="006D1E06" w:rsidRPr="00B14BCD">
          <w:rPr>
            <w:rFonts w:eastAsiaTheme="minorHAnsi"/>
            <w:color w:val="0000FF"/>
            <w:szCs w:val="20"/>
            <w:u w:val="single"/>
          </w:rPr>
          <w:t>http://www.cms.hhs.gov/NursingHomeQualityInits/25_NHQIMDS30.asp#TopOfPage</w:t>
        </w:r>
      </w:hyperlink>
    </w:p>
    <w:p w:rsidR="0062152B" w:rsidRPr="00016073" w:rsidRDefault="0062152B" w:rsidP="005922A1">
      <w:pPr>
        <w:pStyle w:val="Heading2"/>
      </w:pPr>
      <w:r w:rsidRPr="00016073">
        <w:t>Measure Set ID</w:t>
      </w:r>
    </w:p>
    <w:p w:rsidR="0062152B" w:rsidRPr="00016073" w:rsidRDefault="0062152B" w:rsidP="00E81F46">
      <w:pPr>
        <w:pStyle w:val="ListParagraph"/>
        <w:numPr>
          <w:ilvl w:val="0"/>
          <w:numId w:val="4"/>
        </w:numPr>
        <w:rPr>
          <w:szCs w:val="20"/>
        </w:rPr>
      </w:pPr>
      <w:r w:rsidRPr="00016073">
        <w:rPr>
          <w:szCs w:val="20"/>
        </w:rPr>
        <w:t>This field can be used to describe any ID or numbering used for the set of measures</w:t>
      </w:r>
      <w:r w:rsidR="00026658">
        <w:rPr>
          <w:szCs w:val="20"/>
        </w:rPr>
        <w:t xml:space="preserve">.  </w:t>
      </w:r>
      <w:r w:rsidRPr="00016073">
        <w:rPr>
          <w:szCs w:val="20"/>
        </w:rPr>
        <w:t>This may be left blank if it is not applicable</w:t>
      </w:r>
      <w:r w:rsidR="006D1E06" w:rsidRPr="00016073">
        <w:rPr>
          <w:szCs w:val="20"/>
        </w:rPr>
        <w:t xml:space="preserve">: </w:t>
      </w:r>
      <w:r w:rsidR="006D1E06" w:rsidRPr="00016073">
        <w:rPr>
          <w:color w:val="0000FF"/>
          <w:szCs w:val="20"/>
        </w:rPr>
        <w:t>Not applicable</w:t>
      </w:r>
    </w:p>
    <w:p w:rsidR="0062152B" w:rsidRPr="00016073" w:rsidRDefault="0062152B" w:rsidP="005922A1">
      <w:pPr>
        <w:pStyle w:val="Heading2"/>
      </w:pPr>
      <w:r w:rsidRPr="00016073">
        <w:t xml:space="preserve">Version Number and </w:t>
      </w:r>
      <w:r w:rsidR="005922A1">
        <w:t>E</w:t>
      </w:r>
      <w:r w:rsidRPr="00016073">
        <w:t xml:space="preserve">ffective </w:t>
      </w:r>
      <w:r w:rsidR="005922A1">
        <w:t>D</w:t>
      </w:r>
      <w:r w:rsidRPr="00016073">
        <w:t>ate</w:t>
      </w:r>
    </w:p>
    <w:p w:rsidR="0062152B" w:rsidRPr="00016073" w:rsidRDefault="0062152B" w:rsidP="00E81F46">
      <w:pPr>
        <w:pStyle w:val="ListParagraph"/>
        <w:numPr>
          <w:ilvl w:val="0"/>
          <w:numId w:val="12"/>
        </w:numPr>
        <w:spacing w:before="0" w:after="0"/>
        <w:rPr>
          <w:rFonts w:asciiTheme="minorHAnsi" w:eastAsia="Calibri" w:hAnsiTheme="minorHAnsi" w:cstheme="majorBidi"/>
          <w:bCs/>
          <w:iCs/>
          <w:color w:val="1F497D" w:themeColor="text2"/>
          <w:szCs w:val="20"/>
        </w:rPr>
      </w:pPr>
      <w:r w:rsidRPr="00016073">
        <w:rPr>
          <w:rFonts w:eastAsiaTheme="minorHAnsi"/>
          <w:szCs w:val="20"/>
        </w:rPr>
        <w:t>Similar to Ad.4</w:t>
      </w:r>
      <w:r w:rsidR="006D1E06" w:rsidRPr="00016073">
        <w:rPr>
          <w:rFonts w:eastAsiaTheme="minorHAnsi"/>
          <w:szCs w:val="20"/>
        </w:rPr>
        <w:t xml:space="preserve">: </w:t>
      </w:r>
      <w:r w:rsidR="00E97C14" w:rsidRPr="00016073">
        <w:rPr>
          <w:rFonts w:asciiTheme="minorHAnsi" w:hAnsiTheme="minorHAnsi" w:cstheme="majorBidi"/>
          <w:bCs/>
          <w:iCs/>
          <w:color w:val="0000FF"/>
          <w:szCs w:val="20"/>
        </w:rPr>
        <w:t>Version 1.10.4</w:t>
      </w:r>
      <w:r w:rsidR="00026658">
        <w:rPr>
          <w:rFonts w:asciiTheme="minorHAnsi" w:hAnsiTheme="minorHAnsi" w:cstheme="majorBidi"/>
          <w:bCs/>
          <w:iCs/>
          <w:color w:val="0000FF"/>
          <w:szCs w:val="20"/>
        </w:rPr>
        <w:t xml:space="preserve">.  </w:t>
      </w:r>
      <w:r w:rsidR="00E97C14" w:rsidRPr="00016073">
        <w:rPr>
          <w:rFonts w:asciiTheme="minorHAnsi" w:hAnsiTheme="minorHAnsi" w:cstheme="majorBidi"/>
          <w:bCs/>
          <w:iCs/>
          <w:color w:val="0000FF"/>
          <w:szCs w:val="20"/>
        </w:rPr>
        <w:t>04/01/2012</w:t>
      </w:r>
    </w:p>
    <w:p w:rsidR="0062152B" w:rsidRPr="00016073" w:rsidRDefault="0062152B" w:rsidP="005922A1">
      <w:pPr>
        <w:pStyle w:val="Heading2"/>
      </w:pPr>
      <w:r w:rsidRPr="00016073">
        <w:t xml:space="preserve">CMS </w:t>
      </w:r>
      <w:r w:rsidR="005922A1">
        <w:t>A</w:t>
      </w:r>
      <w:r w:rsidRPr="00016073">
        <w:t xml:space="preserve">pproval </w:t>
      </w:r>
      <w:r w:rsidR="005922A1">
        <w:t>D</w:t>
      </w:r>
      <w:r w:rsidRPr="00016073">
        <w:t>ate</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The date when CMS approved this version of the measure</w:t>
      </w:r>
      <w:r w:rsidR="006D1E06" w:rsidRPr="00016073">
        <w:rPr>
          <w:rFonts w:eastAsiaTheme="minorHAnsi"/>
          <w:szCs w:val="20"/>
        </w:rPr>
        <w:t>:</w:t>
      </w:r>
      <w:r w:rsidR="006D1E06" w:rsidRPr="00016073">
        <w:rPr>
          <w:rFonts w:eastAsiaTheme="minorHAnsi"/>
          <w:color w:val="0000FF"/>
          <w:szCs w:val="20"/>
        </w:rPr>
        <w:t xml:space="preserve"> </w:t>
      </w:r>
      <w:r w:rsidR="001103DC" w:rsidRPr="00016073">
        <w:rPr>
          <w:rFonts w:eastAsiaTheme="minorHAnsi"/>
          <w:color w:val="0000FF"/>
          <w:szCs w:val="20"/>
        </w:rPr>
        <w:t>January 29, 2013</w:t>
      </w:r>
    </w:p>
    <w:p w:rsidR="0062152B" w:rsidRPr="00016073" w:rsidRDefault="0062152B" w:rsidP="005922A1">
      <w:pPr>
        <w:pStyle w:val="Heading2"/>
      </w:pPr>
      <w:r w:rsidRPr="00016073">
        <w:t>NQF ID</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The number assigned by NQF after endorsement</w:t>
      </w:r>
      <w:r w:rsidR="00026658">
        <w:rPr>
          <w:rFonts w:eastAsiaTheme="minorHAnsi"/>
          <w:szCs w:val="20"/>
        </w:rPr>
        <w:t xml:space="preserve">.  </w:t>
      </w:r>
      <w:r w:rsidRPr="00016073">
        <w:rPr>
          <w:rFonts w:eastAsiaTheme="minorHAnsi"/>
          <w:szCs w:val="20"/>
        </w:rPr>
        <w:t>If NQF assigns and interim ID, this ID can be used, but should be updated wh</w:t>
      </w:r>
      <w:r w:rsidR="006D1E06" w:rsidRPr="00016073">
        <w:rPr>
          <w:rFonts w:eastAsiaTheme="minorHAnsi"/>
          <w:szCs w:val="20"/>
        </w:rPr>
        <w:t xml:space="preserve">en permanent number is assigned: </w:t>
      </w:r>
      <w:r w:rsidR="006D1E06" w:rsidRPr="00016073">
        <w:rPr>
          <w:rFonts w:eastAsiaTheme="minorHAnsi"/>
          <w:color w:val="0000FF"/>
          <w:szCs w:val="20"/>
        </w:rPr>
        <w:t>To be determined</w:t>
      </w:r>
    </w:p>
    <w:p w:rsidR="0062152B" w:rsidRPr="00016073" w:rsidRDefault="0062152B" w:rsidP="005922A1">
      <w:pPr>
        <w:pStyle w:val="Heading2"/>
      </w:pPr>
      <w:r w:rsidRPr="00016073">
        <w:t xml:space="preserve">Date Endorsed </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This date should be most recent endorsement date and match the date on the NQF site</w:t>
      </w:r>
      <w:r w:rsidR="006D1E06" w:rsidRPr="00016073">
        <w:rPr>
          <w:rFonts w:eastAsiaTheme="minorHAnsi"/>
          <w:szCs w:val="20"/>
        </w:rPr>
        <w:t xml:space="preserve">: </w:t>
      </w:r>
      <w:r w:rsidR="005179F9" w:rsidRPr="00016073">
        <w:rPr>
          <w:rFonts w:asciiTheme="minorHAnsi" w:hAnsiTheme="minorHAnsi" w:cstheme="minorHAnsi"/>
          <w:color w:val="0000FF"/>
          <w:szCs w:val="20"/>
        </w:rPr>
        <w:t>Not applicable</w:t>
      </w:r>
    </w:p>
    <w:p w:rsidR="0062152B" w:rsidRPr="00016073" w:rsidRDefault="0062152B" w:rsidP="005922A1">
      <w:pPr>
        <w:pStyle w:val="Heading2"/>
      </w:pPr>
      <w:r w:rsidRPr="00016073">
        <w:t>Care Setting</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2a1.34</w:t>
      </w:r>
      <w:r w:rsidR="006D1E06" w:rsidRPr="00016073">
        <w:rPr>
          <w:rFonts w:eastAsiaTheme="minorHAnsi"/>
          <w:szCs w:val="20"/>
        </w:rPr>
        <w:t xml:space="preserve">: </w:t>
      </w:r>
      <w:r w:rsidR="006D1E06" w:rsidRPr="00016073">
        <w:rPr>
          <w:rFonts w:eastAsiaTheme="minorHAnsi"/>
          <w:color w:val="0000FF"/>
          <w:szCs w:val="20"/>
        </w:rPr>
        <w:t>Nursing Homes</w:t>
      </w:r>
      <w:r w:rsidR="001049BF" w:rsidRPr="00016073">
        <w:rPr>
          <w:rFonts w:eastAsiaTheme="minorHAnsi"/>
          <w:color w:val="0000FF"/>
          <w:szCs w:val="20"/>
        </w:rPr>
        <w:t xml:space="preserve"> (NH)/Skilled Nursing Facilit</w:t>
      </w:r>
      <w:r w:rsidR="00FD4F7A" w:rsidRPr="00016073">
        <w:rPr>
          <w:rFonts w:eastAsiaTheme="minorHAnsi"/>
          <w:color w:val="0000FF"/>
          <w:szCs w:val="20"/>
        </w:rPr>
        <w:t>y (SNF)</w:t>
      </w:r>
    </w:p>
    <w:p w:rsidR="0062152B" w:rsidRPr="00016073" w:rsidRDefault="0062152B" w:rsidP="005922A1">
      <w:pPr>
        <w:pStyle w:val="Heading2"/>
        <w:rPr>
          <w:rFonts w:eastAsiaTheme="minorHAnsi"/>
        </w:rPr>
      </w:pPr>
      <w:r w:rsidRPr="00016073">
        <w:rPr>
          <w:rFonts w:eastAsiaTheme="minorHAnsi"/>
        </w:rPr>
        <w:t>Unit of Measurement</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Level of Analysis: 2a1.33</w:t>
      </w:r>
      <w:r w:rsidR="006D1E06" w:rsidRPr="00016073">
        <w:rPr>
          <w:rFonts w:eastAsiaTheme="minorHAnsi"/>
          <w:szCs w:val="20"/>
        </w:rPr>
        <w:t xml:space="preserve">: </w:t>
      </w:r>
      <w:r w:rsidR="006D1E06" w:rsidRPr="00016073">
        <w:rPr>
          <w:rFonts w:asciiTheme="minorHAnsi" w:hAnsiTheme="minorHAnsi" w:cstheme="minorHAnsi"/>
          <w:color w:val="0000FF"/>
          <w:szCs w:val="20"/>
        </w:rPr>
        <w:t>Facility</w:t>
      </w:r>
    </w:p>
    <w:p w:rsidR="0062152B" w:rsidRPr="00016073" w:rsidRDefault="0062152B" w:rsidP="005922A1">
      <w:pPr>
        <w:pStyle w:val="Heading2"/>
        <w:rPr>
          <w:rFonts w:eastAsiaTheme="minorHAnsi"/>
        </w:rPr>
      </w:pPr>
      <w:r w:rsidRPr="00016073">
        <w:rPr>
          <w:rFonts w:eastAsiaTheme="minorHAnsi"/>
        </w:rPr>
        <w:t>Measurement Duration</w:t>
      </w:r>
    </w:p>
    <w:p w:rsidR="00FD4F7A" w:rsidRPr="00016073" w:rsidRDefault="0062152B" w:rsidP="005922A1">
      <w:pPr>
        <w:pStyle w:val="BodyText"/>
      </w:pPr>
      <w:r w:rsidRPr="00016073">
        <w:t xml:space="preserve">NQF uses </w:t>
      </w:r>
      <w:r w:rsidR="00B06682" w:rsidRPr="00016073">
        <w:t>Numerator (</w:t>
      </w:r>
      <w:r w:rsidRPr="00016073">
        <w:t xml:space="preserve">2a1.2) and </w:t>
      </w:r>
      <w:r w:rsidR="00B06682" w:rsidRPr="00016073">
        <w:t>Denominator (</w:t>
      </w:r>
      <w:r w:rsidRPr="00016073">
        <w:t>2a1.6)</w:t>
      </w:r>
      <w:r w:rsidR="00AA6BC6" w:rsidRPr="00016073">
        <w:t xml:space="preserve"> </w:t>
      </w:r>
      <w:r w:rsidR="00AA6BC6" w:rsidRPr="00016073">
        <w:rPr>
          <w:b/>
        </w:rPr>
        <w:t>Time Windows</w:t>
      </w:r>
      <w:r w:rsidR="002426B9" w:rsidRPr="00016073">
        <w:rPr>
          <w:b/>
        </w:rPr>
        <w:t>:</w:t>
      </w:r>
      <w:r w:rsidRPr="00016073">
        <w:t xml:space="preserve"> </w:t>
      </w:r>
      <w:r w:rsidR="00FD4F7A" w:rsidRPr="005922A1">
        <w:rPr>
          <w:rFonts w:asciiTheme="minorHAnsi" w:eastAsia="Times New Roman" w:hAnsiTheme="minorHAnsi" w:cstheme="minorHAnsi"/>
          <w:color w:val="0000FF"/>
        </w:rPr>
        <w:t>7-day look back window from the target assessment or the days between admission/entry or reentry and the target assessment if less than 7 days</w:t>
      </w:r>
    </w:p>
    <w:p w:rsidR="0062152B" w:rsidRPr="00016073" w:rsidRDefault="0062152B" w:rsidP="005922A1">
      <w:pPr>
        <w:pStyle w:val="Heading2"/>
        <w:rPr>
          <w:rFonts w:eastAsiaTheme="minorHAnsi"/>
        </w:rPr>
      </w:pPr>
      <w:r w:rsidRPr="00016073">
        <w:rPr>
          <w:rFonts w:eastAsiaTheme="minorHAnsi"/>
        </w:rPr>
        <w:t>Measurement Period</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Year, month, quarter, etc.</w:t>
      </w:r>
      <w:r w:rsidR="00AA6BC6" w:rsidRPr="00016073">
        <w:rPr>
          <w:rFonts w:eastAsiaTheme="minorHAnsi"/>
          <w:szCs w:val="20"/>
        </w:rPr>
        <w:t xml:space="preserve">: </w:t>
      </w:r>
      <w:r w:rsidR="00AA6BC6" w:rsidRPr="00016073">
        <w:rPr>
          <w:rFonts w:eastAsiaTheme="minorHAnsi"/>
          <w:color w:val="0000FF"/>
          <w:szCs w:val="20"/>
        </w:rPr>
        <w:t>Three months</w:t>
      </w:r>
    </w:p>
    <w:p w:rsidR="0062152B" w:rsidRPr="00016073" w:rsidRDefault="0062152B" w:rsidP="005922A1">
      <w:pPr>
        <w:pStyle w:val="Heading2"/>
      </w:pPr>
      <w:r w:rsidRPr="00016073">
        <w:t>Measure Type</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(included in “Importance” 1c.1)</w:t>
      </w:r>
      <w:r w:rsidR="006E069F" w:rsidRPr="00016073">
        <w:rPr>
          <w:rFonts w:eastAsiaTheme="minorHAnsi"/>
          <w:szCs w:val="20"/>
        </w:rPr>
        <w:t xml:space="preserve">: </w:t>
      </w:r>
      <w:r w:rsidR="006E069F" w:rsidRPr="00016073">
        <w:rPr>
          <w:rFonts w:eastAsiaTheme="minorHAnsi"/>
          <w:color w:val="0000FF"/>
          <w:szCs w:val="20"/>
        </w:rPr>
        <w:t>Process</w:t>
      </w:r>
    </w:p>
    <w:p w:rsidR="0062152B" w:rsidRPr="00016073" w:rsidRDefault="0062152B" w:rsidP="005922A1">
      <w:pPr>
        <w:pStyle w:val="Heading2"/>
      </w:pPr>
      <w:r w:rsidRPr="00016073">
        <w:lastRenderedPageBreak/>
        <w:t>Measure Scoring</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Type of Score: 2a1.17</w:t>
      </w:r>
      <w:r w:rsidR="006E069F" w:rsidRPr="00016073">
        <w:rPr>
          <w:rFonts w:eastAsiaTheme="minorHAnsi"/>
          <w:szCs w:val="20"/>
        </w:rPr>
        <w:t xml:space="preserve">: </w:t>
      </w:r>
      <w:r w:rsidR="006E069F" w:rsidRPr="00016073">
        <w:rPr>
          <w:rFonts w:eastAsiaTheme="minorHAnsi"/>
          <w:color w:val="0000FF"/>
          <w:szCs w:val="20"/>
        </w:rPr>
        <w:t>Rate</w:t>
      </w:r>
    </w:p>
    <w:p w:rsidR="0062152B" w:rsidRPr="00016073" w:rsidRDefault="0062152B" w:rsidP="005922A1">
      <w:pPr>
        <w:pStyle w:val="Heading2"/>
      </w:pPr>
      <w:r w:rsidRPr="00016073">
        <w:t>Payer source</w:t>
      </w:r>
    </w:p>
    <w:p w:rsidR="0062152B" w:rsidRPr="00016073" w:rsidRDefault="0062152B" w:rsidP="00E81F46">
      <w:pPr>
        <w:pStyle w:val="ListParagraph"/>
        <w:numPr>
          <w:ilvl w:val="0"/>
          <w:numId w:val="5"/>
        </w:numPr>
        <w:rPr>
          <w:rFonts w:eastAsiaTheme="minorHAnsi"/>
          <w:bCs/>
          <w:szCs w:val="20"/>
        </w:rPr>
      </w:pPr>
      <w:r w:rsidRPr="00016073">
        <w:rPr>
          <w:rFonts w:eastAsiaTheme="minorHAnsi"/>
          <w:szCs w:val="20"/>
        </w:rPr>
        <w:t>Describe the payer for cases included in the measure</w:t>
      </w:r>
      <w:r w:rsidR="00026658">
        <w:rPr>
          <w:rFonts w:eastAsiaTheme="minorHAnsi"/>
          <w:szCs w:val="20"/>
        </w:rPr>
        <w:t xml:space="preserve">.  </w:t>
      </w:r>
      <w:r w:rsidRPr="00016073">
        <w:rPr>
          <w:rFonts w:eastAsiaTheme="minorHAnsi"/>
          <w:szCs w:val="20"/>
        </w:rPr>
        <w:t>(</w:t>
      </w:r>
      <w:r w:rsidR="003B5EB5" w:rsidRPr="00016073">
        <w:rPr>
          <w:rFonts w:eastAsiaTheme="minorHAnsi"/>
          <w:szCs w:val="20"/>
        </w:rPr>
        <w:t>for example</w:t>
      </w:r>
      <w:r w:rsidRPr="00016073">
        <w:rPr>
          <w:rFonts w:eastAsiaTheme="minorHAnsi"/>
          <w:szCs w:val="20"/>
        </w:rPr>
        <w:t xml:space="preserve"> Medicare only, all payers, Medicare and Medicaid)</w:t>
      </w:r>
      <w:r w:rsidR="006E069F" w:rsidRPr="00016073">
        <w:rPr>
          <w:rFonts w:eastAsiaTheme="minorHAnsi"/>
          <w:szCs w:val="20"/>
        </w:rPr>
        <w:t xml:space="preserve">: </w:t>
      </w:r>
      <w:r w:rsidR="007A0035" w:rsidRPr="00016073">
        <w:rPr>
          <w:rFonts w:asciiTheme="minorHAnsi" w:hAnsiTheme="minorHAnsi" w:cs="Courier New"/>
          <w:iCs/>
          <w:color w:val="0000FF"/>
          <w:szCs w:val="20"/>
        </w:rPr>
        <w:t>Medicare/Medicaid/private insurance/out-of-pocket</w:t>
      </w:r>
    </w:p>
    <w:p w:rsidR="0062152B" w:rsidRPr="00016073" w:rsidRDefault="0062152B" w:rsidP="005922A1">
      <w:pPr>
        <w:pStyle w:val="Heading2"/>
      </w:pPr>
      <w:r w:rsidRPr="00016073">
        <w:t xml:space="preserve">Improvement </w:t>
      </w:r>
      <w:r w:rsidR="005922A1">
        <w:t>N</w:t>
      </w:r>
      <w:r w:rsidRPr="00016073">
        <w:t>otation</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Interpretation of Score: 2a1.17</w:t>
      </w:r>
      <w:r w:rsidR="001270C6" w:rsidRPr="00016073">
        <w:rPr>
          <w:rFonts w:eastAsiaTheme="minorHAnsi"/>
          <w:szCs w:val="20"/>
        </w:rPr>
        <w:t xml:space="preserve">: </w:t>
      </w:r>
      <w:r w:rsidR="001270C6" w:rsidRPr="00016073">
        <w:rPr>
          <w:rFonts w:asciiTheme="minorHAnsi" w:hAnsiTheme="minorHAnsi" w:cstheme="majorBidi"/>
          <w:bCs/>
          <w:color w:val="0000FF"/>
          <w:szCs w:val="20"/>
        </w:rPr>
        <w:t>Lower scores indicate better performance</w:t>
      </w:r>
    </w:p>
    <w:p w:rsidR="0062152B" w:rsidRPr="00016073" w:rsidRDefault="0062152B" w:rsidP="005922A1">
      <w:pPr>
        <w:pStyle w:val="Heading2"/>
      </w:pPr>
      <w:r w:rsidRPr="00016073">
        <w:t xml:space="preserve">Measure </w:t>
      </w:r>
      <w:r w:rsidR="005922A1">
        <w:t>S</w:t>
      </w:r>
      <w:r w:rsidRPr="00016073">
        <w:t>teward</w:t>
      </w:r>
    </w:p>
    <w:p w:rsidR="001270C6" w:rsidRPr="00016073" w:rsidRDefault="0062152B" w:rsidP="00E81F46">
      <w:pPr>
        <w:pStyle w:val="ListParagraph"/>
        <w:numPr>
          <w:ilvl w:val="0"/>
          <w:numId w:val="5"/>
        </w:numPr>
        <w:rPr>
          <w:rFonts w:eastAsiaTheme="minorHAnsi"/>
          <w:szCs w:val="20"/>
        </w:rPr>
      </w:pPr>
      <w:r w:rsidRPr="00016073">
        <w:rPr>
          <w:rFonts w:eastAsiaTheme="minorHAnsi"/>
          <w:szCs w:val="20"/>
        </w:rPr>
        <w:t>CO1.1</w:t>
      </w:r>
      <w:r w:rsidR="001270C6" w:rsidRPr="00016073">
        <w:rPr>
          <w:rFonts w:eastAsiaTheme="minorHAnsi"/>
          <w:szCs w:val="20"/>
        </w:rPr>
        <w:t xml:space="preserve">: </w:t>
      </w:r>
      <w:r w:rsidR="001270C6" w:rsidRPr="00016073">
        <w:rPr>
          <w:rFonts w:eastAsiaTheme="minorHAnsi"/>
          <w:color w:val="0000FF"/>
          <w:szCs w:val="20"/>
        </w:rPr>
        <w:t>Centers for Medicare &amp; Medicaid Services (CMS)</w:t>
      </w:r>
    </w:p>
    <w:p w:rsidR="0062152B" w:rsidRPr="00016073" w:rsidRDefault="0062152B" w:rsidP="005922A1">
      <w:pPr>
        <w:pStyle w:val="Heading2"/>
      </w:pPr>
      <w:r w:rsidRPr="00016073">
        <w:t>Copyright / Disclaimer</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Please state any copyright or disclaimer that the owner may require</w:t>
      </w:r>
      <w:r w:rsidR="00026658">
        <w:rPr>
          <w:rFonts w:eastAsiaTheme="minorHAnsi"/>
          <w:szCs w:val="20"/>
        </w:rPr>
        <w:t xml:space="preserve">.  </w:t>
      </w:r>
      <w:r w:rsidRPr="00016073">
        <w:rPr>
          <w:rFonts w:eastAsiaTheme="minorHAnsi"/>
          <w:szCs w:val="20"/>
        </w:rPr>
        <w:t>This does not apply to measures developed and owned by CMS</w:t>
      </w:r>
      <w:r w:rsidR="00026658">
        <w:rPr>
          <w:rFonts w:eastAsiaTheme="minorHAnsi"/>
          <w:szCs w:val="20"/>
        </w:rPr>
        <w:t xml:space="preserve">.  </w:t>
      </w:r>
      <w:r w:rsidR="004E7033" w:rsidRPr="00016073">
        <w:rPr>
          <w:rFonts w:eastAsiaTheme="minorHAnsi"/>
          <w:color w:val="0000FF"/>
          <w:szCs w:val="20"/>
        </w:rPr>
        <w:t>Not applicable</w:t>
      </w:r>
    </w:p>
    <w:p w:rsidR="0062152B" w:rsidRPr="00016073" w:rsidRDefault="0062152B" w:rsidP="005922A1">
      <w:pPr>
        <w:pStyle w:val="Heading2"/>
      </w:pPr>
      <w:r w:rsidRPr="00016073">
        <w:t xml:space="preserve">Measure </w:t>
      </w:r>
      <w:r w:rsidR="005922A1">
        <w:t>D</w:t>
      </w:r>
      <w:r w:rsidRPr="00016073">
        <w:t>escription</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De.2</w:t>
      </w:r>
      <w:r w:rsidR="00026658">
        <w:rPr>
          <w:rFonts w:eastAsiaTheme="minorHAnsi"/>
          <w:szCs w:val="20"/>
        </w:rPr>
        <w:t xml:space="preserve">.  </w:t>
      </w:r>
      <w:r w:rsidRPr="00016073">
        <w:rPr>
          <w:rFonts w:eastAsiaTheme="minorHAnsi"/>
          <w:szCs w:val="20"/>
        </w:rPr>
        <w:t>Briefly describe the type of score (</w:t>
      </w:r>
      <w:r w:rsidR="003B5EB5" w:rsidRPr="00016073">
        <w:rPr>
          <w:rFonts w:eastAsiaTheme="minorHAnsi"/>
          <w:szCs w:val="20"/>
        </w:rPr>
        <w:t>for example</w:t>
      </w:r>
      <w:r w:rsidRPr="00016073">
        <w:rPr>
          <w:rFonts w:eastAsiaTheme="minorHAnsi"/>
          <w:szCs w:val="20"/>
        </w:rPr>
        <w:t>, percentage, proportion, number) and</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the target population and focus of measurement:</w:t>
      </w:r>
    </w:p>
    <w:p w:rsidR="0062152B" w:rsidRPr="00016073" w:rsidRDefault="0062152B" w:rsidP="004173FA">
      <w:pPr>
        <w:pStyle w:val="TextCenter"/>
      </w:pPr>
      <w:r w:rsidRPr="00016073">
        <w:t>[type of score] of [target population] who received/had [measure focus]</w:t>
      </w:r>
    </w:p>
    <w:p w:rsidR="00C4125E" w:rsidRPr="00016073" w:rsidRDefault="00C4125E" w:rsidP="005922A1">
      <w:pPr>
        <w:pStyle w:val="Body"/>
      </w:pPr>
      <w:r w:rsidRPr="00016073">
        <w:t xml:space="preserve">This measure is based on data from the MDS 3.0 assessment of long-stay </w:t>
      </w:r>
      <w:r w:rsidR="002B1628" w:rsidRPr="00016073">
        <w:t>nursing home</w:t>
      </w:r>
      <w:r w:rsidRPr="00016073">
        <w:t xml:space="preserve"> residents and reports the percentage of nursing home residents </w:t>
      </w:r>
      <w:r w:rsidR="00595CE4" w:rsidRPr="00016073">
        <w:t xml:space="preserve">in the facility </w:t>
      </w:r>
      <w:r w:rsidRPr="00016073">
        <w:t>who receive antipsychotic</w:t>
      </w:r>
      <w:r w:rsidR="00742972" w:rsidRPr="00016073">
        <w:t xml:space="preserve"> medications</w:t>
      </w:r>
      <w:r w:rsidRPr="00016073">
        <w:t xml:space="preserve"> in the 7 days prior to the target MDS assessment (which may be </w:t>
      </w:r>
      <w:r w:rsidR="00742972" w:rsidRPr="00016073">
        <w:t>an OBRA, PPS or discharge MDS assessment</w:t>
      </w:r>
      <w:r w:rsidRPr="00016073">
        <w:t>) during the target period</w:t>
      </w:r>
      <w:r w:rsidR="00026658">
        <w:t xml:space="preserve">.  </w:t>
      </w:r>
    </w:p>
    <w:p w:rsidR="00C4125E" w:rsidRPr="00016073" w:rsidRDefault="00C4125E" w:rsidP="005922A1">
      <w:pPr>
        <w:pStyle w:val="Body"/>
        <w:rPr>
          <w:b/>
          <w:i/>
        </w:rPr>
      </w:pPr>
      <w:r w:rsidRPr="00016073">
        <w:t>Long-stay residents are those who have had at least 10</w:t>
      </w:r>
      <w:r w:rsidR="00595CE4" w:rsidRPr="00016073">
        <w:t>1</w:t>
      </w:r>
      <w:r w:rsidRPr="00016073">
        <w:t xml:space="preserve"> </w:t>
      </w:r>
      <w:r w:rsidR="00742972" w:rsidRPr="00016073">
        <w:t xml:space="preserve">cumulative </w:t>
      </w:r>
      <w:r w:rsidRPr="00016073">
        <w:t xml:space="preserve">days of nursing </w:t>
      </w:r>
      <w:r w:rsidR="002B1628" w:rsidRPr="00016073">
        <w:t>home</w:t>
      </w:r>
      <w:r w:rsidRPr="00016073">
        <w:t xml:space="preserve"> care.</w:t>
      </w:r>
    </w:p>
    <w:p w:rsidR="0062152B" w:rsidRPr="00016073" w:rsidRDefault="0062152B" w:rsidP="005922A1">
      <w:pPr>
        <w:pStyle w:val="Heading2"/>
      </w:pPr>
      <w:r w:rsidRPr="00016073">
        <w:t>Rationale</w:t>
      </w:r>
    </w:p>
    <w:p w:rsidR="0062152B" w:rsidRPr="00016073" w:rsidRDefault="0062152B" w:rsidP="00E81F46">
      <w:pPr>
        <w:pStyle w:val="ListParagraph"/>
        <w:numPr>
          <w:ilvl w:val="0"/>
          <w:numId w:val="5"/>
        </w:numPr>
        <w:rPr>
          <w:rFonts w:eastAsiaTheme="minorHAnsi"/>
          <w:bCs/>
          <w:szCs w:val="20"/>
        </w:rPr>
      </w:pPr>
      <w:r w:rsidRPr="00016073">
        <w:rPr>
          <w:rFonts w:eastAsiaTheme="minorHAnsi"/>
          <w:szCs w:val="20"/>
        </w:rPr>
        <w:t>Succinct statement of the need for the measure</w:t>
      </w:r>
      <w:r w:rsidR="00026658">
        <w:rPr>
          <w:rFonts w:eastAsiaTheme="minorHAnsi"/>
          <w:szCs w:val="20"/>
        </w:rPr>
        <w:t xml:space="preserve">.  </w:t>
      </w:r>
      <w:r w:rsidRPr="00016073">
        <w:rPr>
          <w:rFonts w:eastAsiaTheme="minorHAnsi"/>
          <w:szCs w:val="20"/>
        </w:rPr>
        <w:t>Usually includes statements pertaining to Importance criterion: impact, gap in care and evidence.</w:t>
      </w:r>
    </w:p>
    <w:p w:rsidR="00C4125E" w:rsidRPr="00016073" w:rsidRDefault="00C4125E" w:rsidP="005922A1">
      <w:pPr>
        <w:pStyle w:val="Body"/>
      </w:pPr>
      <w:r w:rsidRPr="00016073">
        <w:t xml:space="preserve">Antipsychotic medications can be </w:t>
      </w:r>
      <w:r w:rsidR="00966B12" w:rsidRPr="00016073">
        <w:t xml:space="preserve">potentially </w:t>
      </w:r>
      <w:r w:rsidRPr="00016073">
        <w:t xml:space="preserve">dangerous for </w:t>
      </w:r>
      <w:r w:rsidR="00966B12" w:rsidRPr="00016073">
        <w:t xml:space="preserve">the </w:t>
      </w:r>
      <w:r w:rsidRPr="00016073">
        <w:t>elderly</w:t>
      </w:r>
      <w:r w:rsidR="00E3323F" w:rsidRPr="00016073">
        <w:t xml:space="preserve">, especially for those </w:t>
      </w:r>
      <w:r w:rsidRPr="00016073">
        <w:t xml:space="preserve">who do not have the clinical </w:t>
      </w:r>
      <w:r w:rsidR="00521D0A" w:rsidRPr="00016073">
        <w:t>indication</w:t>
      </w:r>
      <w:r w:rsidR="00026658">
        <w:t xml:space="preserve">.  </w:t>
      </w:r>
      <w:r w:rsidRPr="00016073">
        <w:t xml:space="preserve">Of particular concern is the off-label use of these drugs for elders with dementia or dementia-related psychoses or agitation </w:t>
      </w:r>
      <w:r w:rsidR="007218B9" w:rsidRPr="00016073">
        <w:t>(</w:t>
      </w:r>
      <w:r w:rsidRPr="00016073">
        <w:t>Jeste</w:t>
      </w:r>
      <w:r w:rsidR="007218B9" w:rsidRPr="00016073">
        <w:t xml:space="preserve"> et al., 2008</w:t>
      </w:r>
      <w:r w:rsidRPr="00016073">
        <w:t>)</w:t>
      </w:r>
      <w:r w:rsidR="00026658">
        <w:t xml:space="preserve">.  </w:t>
      </w:r>
      <w:r w:rsidRPr="00016073">
        <w:t>In April 2005, the FDA issued a black box warning against prescribing atypical antipsychotic medications for elderly with dementia</w:t>
      </w:r>
      <w:r w:rsidR="00E150C7" w:rsidRPr="00016073">
        <w:t xml:space="preserve"> (Rosack, 2005)</w:t>
      </w:r>
      <w:r w:rsidR="00026658">
        <w:t xml:space="preserve">.  </w:t>
      </w:r>
      <w:r w:rsidRPr="00016073">
        <w:t>The evidence on which the black box warning was based came from a meta-analysis of data from 17 randomized trials with a total of 5,106 patients which identified an “approximately 1.6- to 1.7-fold increase in mortality in the combined studies”</w:t>
      </w:r>
      <w:r w:rsidR="005F697E" w:rsidRPr="00016073">
        <w:t xml:space="preserve"> (Rosack, 2005)</w:t>
      </w:r>
      <w:r w:rsidR="00026658">
        <w:t xml:space="preserve">.  </w:t>
      </w:r>
      <w:r w:rsidRPr="00016073">
        <w:t>In June 2008, the FDA extended the warning to all categories of antipsychotic drugs, conventional as well as atypical</w:t>
      </w:r>
      <w:r w:rsidR="005F697E" w:rsidRPr="00016073">
        <w:t xml:space="preserve"> (Rosack, 2005)</w:t>
      </w:r>
      <w:r w:rsidR="00026658">
        <w:t xml:space="preserve">.  </w:t>
      </w:r>
      <w:r w:rsidRPr="00016073">
        <w:t xml:space="preserve">In this warning, </w:t>
      </w:r>
      <w:r w:rsidR="0060432B" w:rsidRPr="00016073">
        <w:t xml:space="preserve">the </w:t>
      </w:r>
      <w:r w:rsidRPr="00016073">
        <w:t xml:space="preserve">FDA advised health care professionals, "Antipsychotics are not indicated for the treatment of dementia-related psychosis." Besides elevated mortality risk, clinical trials of atypical antipsychotic medications also show </w:t>
      </w:r>
      <w:r w:rsidR="00966B12" w:rsidRPr="00016073">
        <w:t xml:space="preserve">elevated risk for </w:t>
      </w:r>
      <w:r w:rsidRPr="00016073">
        <w:t>serious adverse events including falls, somnolence and abnormal gait</w:t>
      </w:r>
      <w:r w:rsidR="00EB7455" w:rsidRPr="00016073">
        <w:t xml:space="preserve"> (Rosack, 2005; FDA, 2008; Ballar</w:t>
      </w:r>
      <w:r w:rsidR="00CB409A" w:rsidRPr="00016073">
        <w:t>d &amp; Margallo-Lana, 2004; Martin</w:t>
      </w:r>
      <w:r w:rsidR="00B812CE" w:rsidRPr="00016073">
        <w:t xml:space="preserve"> et al.</w:t>
      </w:r>
      <w:r w:rsidR="00CB409A" w:rsidRPr="00016073">
        <w:t xml:space="preserve">, 2003; </w:t>
      </w:r>
      <w:r w:rsidR="00EB7455" w:rsidRPr="00016073">
        <w:t xml:space="preserve">Neil, Curran, </w:t>
      </w:r>
      <w:r w:rsidR="006642D6" w:rsidRPr="00016073">
        <w:t xml:space="preserve">and </w:t>
      </w:r>
      <w:r w:rsidR="00EB7455" w:rsidRPr="00016073">
        <w:t>Wattis, 2003</w:t>
      </w:r>
      <w:r w:rsidR="008E2D7F" w:rsidRPr="00016073">
        <w:t xml:space="preserve">; </w:t>
      </w:r>
      <w:r w:rsidR="00F460A8" w:rsidRPr="00016073">
        <w:t xml:space="preserve">Doody et al., 2001; </w:t>
      </w:r>
      <w:r w:rsidR="008E2D7F" w:rsidRPr="00016073">
        <w:t>Jackson-Siegal, 2004</w:t>
      </w:r>
      <w:r w:rsidR="00EB7455" w:rsidRPr="00016073">
        <w:t>)</w:t>
      </w:r>
      <w:r w:rsidR="00026658">
        <w:t xml:space="preserve">.  </w:t>
      </w:r>
      <w:r w:rsidRPr="00016073">
        <w:t>Additionally, there is evidence of increased risk for cerebrovascular adverse events associated with certain atypical antipsychotic medications (e.g., risperidone</w:t>
      </w:r>
      <w:r w:rsidR="007218B9" w:rsidRPr="00016073">
        <w:t>, olanzapine, and aripiprazole) (Jeste et al., 2008)</w:t>
      </w:r>
      <w:r w:rsidR="00026658">
        <w:t xml:space="preserve">.  </w:t>
      </w:r>
      <w:r w:rsidRPr="00016073">
        <w:t xml:space="preserve">While the black box warnings </w:t>
      </w:r>
      <w:r w:rsidR="00966B12" w:rsidRPr="00016073">
        <w:t>applied to</w:t>
      </w:r>
      <w:r w:rsidRPr="00016073">
        <w:t xml:space="preserve"> all antipsychotic </w:t>
      </w:r>
      <w:r w:rsidR="00E439B3" w:rsidRPr="00016073">
        <w:t>medications</w:t>
      </w:r>
      <w:r w:rsidRPr="00016073">
        <w:t xml:space="preserve">, a recent study identified some differences in mortality risk </w:t>
      </w:r>
      <w:r w:rsidR="00966B12" w:rsidRPr="00016073">
        <w:t>by</w:t>
      </w:r>
      <w:r w:rsidR="0060432B" w:rsidRPr="00016073">
        <w:t xml:space="preserve"> medication and dose </w:t>
      </w:r>
      <w:r w:rsidRPr="00016073">
        <w:t xml:space="preserve">among a large population based cohort of dually-eligible nursing home residents prescribed antipsychotic </w:t>
      </w:r>
      <w:r w:rsidR="00E439B3" w:rsidRPr="00016073">
        <w:t xml:space="preserve">medications </w:t>
      </w:r>
      <w:r w:rsidRPr="00016073">
        <w:t>(Huybrechts</w:t>
      </w:r>
      <w:r w:rsidR="0060432B" w:rsidRPr="00016073">
        <w:t xml:space="preserve"> et al.</w:t>
      </w:r>
      <w:r w:rsidRPr="00016073">
        <w:t>, 2012)</w:t>
      </w:r>
      <w:r w:rsidR="00026658">
        <w:t xml:space="preserve">.  </w:t>
      </w:r>
    </w:p>
    <w:p w:rsidR="00C4125E" w:rsidRPr="00016073" w:rsidRDefault="00C4125E" w:rsidP="005922A1">
      <w:pPr>
        <w:pStyle w:val="Body"/>
      </w:pPr>
      <w:r w:rsidRPr="00016073">
        <w:lastRenderedPageBreak/>
        <w:t xml:space="preserve">Despite the black box warnings and </w:t>
      </w:r>
      <w:r w:rsidR="00E439B3" w:rsidRPr="00016073">
        <w:t>the potential</w:t>
      </w:r>
      <w:r w:rsidR="00C26224" w:rsidRPr="00016073">
        <w:t xml:space="preserve"> </w:t>
      </w:r>
      <w:r w:rsidRPr="00016073">
        <w:t>adverse events, antipsychotic use in nursing homes is still prevalent</w:t>
      </w:r>
      <w:r w:rsidR="00026658">
        <w:t xml:space="preserve">.  </w:t>
      </w:r>
      <w:r w:rsidRPr="00016073">
        <w:t xml:space="preserve">Based on Medicare claims and MDS, a 2011 report from Office of Inspector General revealed that </w:t>
      </w:r>
      <w:r w:rsidR="00B64403" w:rsidRPr="00016073">
        <w:t xml:space="preserve">between January and June 2007, </w:t>
      </w:r>
      <w:r w:rsidRPr="00016073">
        <w:t xml:space="preserve">14% </w:t>
      </w:r>
      <w:r w:rsidR="00C26224" w:rsidRPr="00016073">
        <w:t xml:space="preserve">of </w:t>
      </w:r>
      <w:r w:rsidRPr="00016073">
        <w:t>nursing home residents receive atypical antipsychotic</w:t>
      </w:r>
      <w:r w:rsidR="00C26224" w:rsidRPr="00016073">
        <w:t>s</w:t>
      </w:r>
      <w:r w:rsidR="00026658">
        <w:t xml:space="preserve">.  </w:t>
      </w:r>
      <w:r w:rsidR="002070DA" w:rsidRPr="00016073">
        <w:t>More than 80% of these residents</w:t>
      </w:r>
      <w:r w:rsidR="006D583A" w:rsidRPr="00016073">
        <w:t xml:space="preserve"> used the antipsychotic medications for conditions that were off-label and/or were specified in the boxed warning</w:t>
      </w:r>
      <w:r w:rsidR="00026658">
        <w:t xml:space="preserve">.  </w:t>
      </w:r>
      <w:r w:rsidR="00B64403" w:rsidRPr="00016073">
        <w:t>Furthermore, 22% of the atypical antipsychotic drugs claimed were not administered in accordance with CMS standards regarding unnecessary drug use in nursing homes (e.g., providing drugs in excessive doses or for excessive durations)</w:t>
      </w:r>
      <w:r w:rsidR="00026658">
        <w:t xml:space="preserve">.  </w:t>
      </w:r>
      <w:r w:rsidRPr="00016073">
        <w:t>According to CMS’s QM/QI report, between July and September 2010, 39.4% of nursing home residents nationwide who had cognitive impairments and behavior problems but no diagnosis of psychosis or related conditions received antipsychotic drugs (either atypical or conventional)</w:t>
      </w:r>
      <w:r w:rsidR="00026658">
        <w:t xml:space="preserve">.  </w:t>
      </w:r>
      <w:r w:rsidRPr="00016073">
        <w:t>Using data from the Medicare Current Beneficiary Survey and other sources, another study suggests that antipsychotic drug prescriptions in nursing homes are increasing, and approximately 27.6% of Medicare beneficiaries in nursing homes received an antipsychotic prescription during the study period</w:t>
      </w:r>
      <w:r w:rsidR="00B56A47" w:rsidRPr="00016073">
        <w:t xml:space="preserve"> (Briesacher et al., 2005)</w:t>
      </w:r>
      <w:r w:rsidR="00026658">
        <w:t xml:space="preserve">.  </w:t>
      </w:r>
      <w:r w:rsidRPr="00016073">
        <w:t>Only 41.8% of these residents received antipsychotic therapy in accordance with nursing home prescribing guidelines; 23.4% of residents had no appropriate indication, 17.2% had daily doses exceeding recommended levels, and 17.6% had both inappropriate indications and high dosing</w:t>
      </w:r>
      <w:bookmarkStart w:id="0" w:name="_Ref308794542"/>
      <w:bookmarkStart w:id="1" w:name="_Ref308792693"/>
      <w:r w:rsidR="00B56A47" w:rsidRPr="00016073">
        <w:t xml:space="preserve"> (Briesacher et al., 2005)</w:t>
      </w:r>
      <w:bookmarkEnd w:id="0"/>
      <w:r w:rsidR="00026658">
        <w:t xml:space="preserve">.  </w:t>
      </w:r>
      <w:bookmarkEnd w:id="1"/>
      <w:r w:rsidRPr="00016073">
        <w:t>Findings from another study using samples in selected states also suggest the high prevalence of antipsychotic use in nursing homes</w:t>
      </w:r>
      <w:r w:rsidR="00B56A47" w:rsidRPr="00016073">
        <w:t xml:space="preserve"> (Crystal</w:t>
      </w:r>
      <w:r w:rsidR="002B17D1" w:rsidRPr="00016073">
        <w:t xml:space="preserve"> et al.</w:t>
      </w:r>
      <w:r w:rsidR="00B56A47" w:rsidRPr="00016073">
        <w:t>, 2009)</w:t>
      </w:r>
      <w:r w:rsidR="00026658">
        <w:t xml:space="preserve">.  </w:t>
      </w:r>
    </w:p>
    <w:p w:rsidR="00C4125E" w:rsidRPr="00016073" w:rsidRDefault="00C4125E" w:rsidP="000F2BFA">
      <w:pPr>
        <w:pStyle w:val="Body"/>
      </w:pPr>
      <w:r w:rsidRPr="00016073">
        <w:t>In addition to being a threat to patient safety, antipsychotic medications are also expensive to consumers and Medicare</w:t>
      </w:r>
      <w:r w:rsidR="00026658">
        <w:t xml:space="preserve">.  </w:t>
      </w:r>
      <w:r w:rsidRPr="00016073">
        <w:t>Atypical antipsychotic drugs cost more than $13 billion in 2007, "nearly 5 percent of all U.S</w:t>
      </w:r>
      <w:r w:rsidR="00026658">
        <w:t xml:space="preserve">.  </w:t>
      </w:r>
      <w:r w:rsidRPr="00016073">
        <w:t>drug expenditures"</w:t>
      </w:r>
      <w:r w:rsidR="00B56A47" w:rsidRPr="00016073">
        <w:t xml:space="preserve"> (Alexander</w:t>
      </w:r>
      <w:r w:rsidR="00B812CE" w:rsidRPr="00016073">
        <w:t xml:space="preserve"> et al.</w:t>
      </w:r>
      <w:r w:rsidR="00B56A47" w:rsidRPr="00016073">
        <w:t>, 2011)</w:t>
      </w:r>
      <w:r w:rsidR="00026658">
        <w:t xml:space="preserve">.  </w:t>
      </w:r>
      <w:r w:rsidRPr="00016073">
        <w:t>They are also responsible for a significant portion of expenditures for Medicare Part D</w:t>
      </w:r>
      <w:r w:rsidR="00B56A47" w:rsidRPr="00016073">
        <w:t xml:space="preserve"> (Doody et al., 2001)</w:t>
      </w:r>
      <w:r w:rsidR="00026658">
        <w:t xml:space="preserve">.  </w:t>
      </w:r>
      <w:r w:rsidRPr="00016073">
        <w:t>Furthermore, the OIG report found that 51% of Medicare atypical antipsychotic drug claims for elderly nursing home residents were erroneous, amounting to $116 million</w:t>
      </w:r>
      <w:r w:rsidR="00026658">
        <w:t xml:space="preserve"> </w:t>
      </w:r>
      <w:r w:rsidR="00B812CE" w:rsidRPr="00016073">
        <w:t>(OIG, 2011)</w:t>
      </w:r>
      <w:r w:rsidR="000F2BFA">
        <w:t>.</w:t>
      </w:r>
      <w:r w:rsidR="00D81F48" w:rsidRPr="00016073">
        <w:t xml:space="preserve"> </w:t>
      </w:r>
    </w:p>
    <w:p w:rsidR="00C4125E" w:rsidRDefault="00C4125E" w:rsidP="005922A1">
      <w:pPr>
        <w:pStyle w:val="Body"/>
      </w:pPr>
      <w:r w:rsidRPr="00016073">
        <w:t>Use of this measure should prompt nursing facilities to re-examine their prescribing patterns which may result in practice consistent with clinical recommendations and guidelines</w:t>
      </w:r>
      <w:r w:rsidR="00026658">
        <w:t xml:space="preserve">.  </w:t>
      </w:r>
    </w:p>
    <w:p w:rsidR="00760635" w:rsidRPr="00A8252E" w:rsidRDefault="00760635" w:rsidP="00760635">
      <w:pPr>
        <w:pStyle w:val="EndnoteText"/>
        <w:rPr>
          <w:color w:val="0000FF"/>
        </w:rPr>
      </w:pPr>
      <w:r w:rsidRPr="00A8252E">
        <w:rPr>
          <w:color w:val="0000FF"/>
        </w:rPr>
        <w:t>Alexander</w:t>
      </w:r>
      <w:r w:rsidRPr="00A8252E">
        <w:rPr>
          <w:rFonts w:cs="Calibri"/>
          <w:noProof/>
          <w:color w:val="0000FF"/>
        </w:rPr>
        <w:t xml:space="preserve">, </w:t>
      </w:r>
      <w:r w:rsidRPr="00A8252E">
        <w:rPr>
          <w:color w:val="0000FF"/>
        </w:rPr>
        <w:t xml:space="preserve">G., Gallagher, S., Mascola, A., et al.: Increasing off-label use of antipsychotic medications in the United States, 1995-2008.  </w:t>
      </w:r>
      <w:r w:rsidRPr="00A8252E">
        <w:rPr>
          <w:color w:val="0000FF"/>
          <w:u w:val="single"/>
        </w:rPr>
        <w:t>Pharmacoepidemiol Drug Saf</w:t>
      </w:r>
      <w:r w:rsidRPr="00A8252E">
        <w:rPr>
          <w:color w:val="0000FF"/>
        </w:rPr>
        <w:t xml:space="preserve"> 20(2):177-184, 2011.</w:t>
      </w:r>
    </w:p>
    <w:p w:rsidR="00760635" w:rsidRPr="00A8252E" w:rsidRDefault="00760635" w:rsidP="00760635">
      <w:pPr>
        <w:pStyle w:val="EndnoteText"/>
        <w:rPr>
          <w:noProof/>
          <w:color w:val="0000FF"/>
        </w:rPr>
      </w:pPr>
      <w:r w:rsidRPr="00A8252E">
        <w:rPr>
          <w:color w:val="0000FF"/>
        </w:rPr>
        <w:t>Ballard</w:t>
      </w:r>
      <w:r w:rsidRPr="00A8252E">
        <w:rPr>
          <w:noProof/>
          <w:color w:val="0000FF"/>
        </w:rPr>
        <w:t xml:space="preserve">, C.G., and Margallo-Lana, M.L.: The relationship between antipsychotic treatment and quality of life for patients with dementia living in residential and nursing home care facilities.  </w:t>
      </w:r>
      <w:r w:rsidRPr="00A8252E">
        <w:rPr>
          <w:noProof/>
          <w:color w:val="0000FF"/>
          <w:u w:val="single"/>
        </w:rPr>
        <w:t>J Clin Psychiatry</w:t>
      </w:r>
      <w:r w:rsidRPr="00A8252E">
        <w:rPr>
          <w:noProof/>
          <w:color w:val="0000FF"/>
        </w:rPr>
        <w:t xml:space="preserve"> 65 Suppl 11:23-28, 2004.</w:t>
      </w:r>
    </w:p>
    <w:p w:rsidR="00760635" w:rsidRPr="00A8252E" w:rsidRDefault="00760635" w:rsidP="00760635">
      <w:pPr>
        <w:pStyle w:val="EndnoteText"/>
        <w:rPr>
          <w:noProof/>
          <w:color w:val="0000FF"/>
        </w:rPr>
      </w:pPr>
      <w:r w:rsidRPr="00A8252E">
        <w:rPr>
          <w:color w:val="0000FF"/>
        </w:rPr>
        <w:t>Briesacher</w:t>
      </w:r>
      <w:r w:rsidRPr="00A8252E">
        <w:rPr>
          <w:noProof/>
          <w:color w:val="0000FF"/>
        </w:rPr>
        <w:t xml:space="preserve">, B.A., Limcangco, M.R., Simoni-Wastila, L., et al.: The quality of antipsychotic drug prescribing in nursing homes.  </w:t>
      </w:r>
      <w:r w:rsidRPr="00A8252E">
        <w:rPr>
          <w:noProof/>
          <w:color w:val="0000FF"/>
          <w:u w:val="single"/>
        </w:rPr>
        <w:t>ArchIntern Med</w:t>
      </w:r>
      <w:r w:rsidRPr="00A8252E">
        <w:rPr>
          <w:noProof/>
          <w:color w:val="0000FF"/>
        </w:rPr>
        <w:t xml:space="preserve"> 165(11):1280-1285, 2005.</w:t>
      </w:r>
    </w:p>
    <w:p w:rsidR="00760635" w:rsidRPr="00A8252E" w:rsidRDefault="00760635" w:rsidP="00760635">
      <w:pPr>
        <w:pStyle w:val="EndnoteText"/>
        <w:rPr>
          <w:noProof/>
          <w:color w:val="0000FF"/>
        </w:rPr>
      </w:pPr>
      <w:r w:rsidRPr="00A8252E">
        <w:rPr>
          <w:color w:val="0000FF"/>
        </w:rPr>
        <w:t>CMS</w:t>
      </w:r>
      <w:r w:rsidRPr="00A8252E">
        <w:rPr>
          <w:noProof/>
          <w:color w:val="0000FF"/>
        </w:rPr>
        <w:t>: MDS Quality Measure/Indicator Report, Psychotropic Drug Use, July/September 2010, 2010.</w:t>
      </w:r>
    </w:p>
    <w:p w:rsidR="00760635" w:rsidRPr="00A8252E" w:rsidRDefault="00760635" w:rsidP="00760635">
      <w:pPr>
        <w:pStyle w:val="EndnoteText"/>
        <w:rPr>
          <w:noProof/>
          <w:color w:val="0000FF"/>
        </w:rPr>
      </w:pPr>
      <w:r w:rsidRPr="00A8252E">
        <w:rPr>
          <w:noProof/>
          <w:color w:val="0000FF"/>
        </w:rPr>
        <w:t xml:space="preserve">Crystal, S., Olfson, M., Huang, C., et al.: Broadened use of atypical antipsychotics: safety, effectiveness, and policy challenges.  </w:t>
      </w:r>
      <w:r w:rsidRPr="00A8252E">
        <w:rPr>
          <w:noProof/>
          <w:color w:val="0000FF"/>
          <w:u w:val="single"/>
        </w:rPr>
        <w:t>Health Aff (Millwood)</w:t>
      </w:r>
      <w:r w:rsidRPr="00A8252E">
        <w:rPr>
          <w:noProof/>
          <w:color w:val="0000FF"/>
        </w:rPr>
        <w:t xml:space="preserve"> 28(5):w770-781, 2009.</w:t>
      </w:r>
    </w:p>
    <w:p w:rsidR="00760635" w:rsidRPr="00A8252E" w:rsidRDefault="00760635" w:rsidP="00760635">
      <w:pPr>
        <w:pStyle w:val="EndnoteText"/>
        <w:rPr>
          <w:noProof/>
          <w:color w:val="0000FF"/>
        </w:rPr>
      </w:pPr>
      <w:r w:rsidRPr="00A8252E">
        <w:rPr>
          <w:color w:val="0000FF"/>
        </w:rPr>
        <w:t>Doody</w:t>
      </w:r>
      <w:r w:rsidRPr="00A8252E">
        <w:rPr>
          <w:noProof/>
          <w:color w:val="0000FF"/>
        </w:rPr>
        <w:t xml:space="preserve">, R.S., Stevens, J.C., Beck, C., et al.: Practice parameter: management of dementia (an evidence-based review).  Report of the Quality Standards Subcommittee of the American Academy of Neurology.  </w:t>
      </w:r>
      <w:r w:rsidRPr="00A8252E">
        <w:rPr>
          <w:noProof/>
          <w:color w:val="0000FF"/>
          <w:u w:val="single"/>
        </w:rPr>
        <w:t>Neurology</w:t>
      </w:r>
      <w:r w:rsidRPr="00A8252E">
        <w:rPr>
          <w:noProof/>
          <w:color w:val="0000FF"/>
        </w:rPr>
        <w:t xml:space="preserve"> 56(9):1154-1166, 2001.</w:t>
      </w:r>
    </w:p>
    <w:p w:rsidR="00760635" w:rsidRPr="00A8252E" w:rsidRDefault="00760635" w:rsidP="00760635">
      <w:pPr>
        <w:pStyle w:val="EndnoteText"/>
        <w:rPr>
          <w:color w:val="0000FF"/>
        </w:rPr>
      </w:pPr>
      <w:r w:rsidRPr="00A8252E">
        <w:rPr>
          <w:noProof/>
          <w:color w:val="0000FF"/>
        </w:rPr>
        <w:t xml:space="preserve">FDA: </w:t>
      </w:r>
      <w:r w:rsidRPr="00A8252E">
        <w:rPr>
          <w:noProof/>
          <w:color w:val="0000FF"/>
          <w:u w:val="single"/>
        </w:rPr>
        <w:t>Information for Healthcare Professionals:  Conventional Antipsychotics</w:t>
      </w:r>
      <w:r w:rsidRPr="00A8252E">
        <w:rPr>
          <w:noProof/>
          <w:color w:val="0000FF"/>
        </w:rPr>
        <w:t xml:space="preserve">.  FDA Alert (June 16, 2008).  </w:t>
      </w:r>
      <w:hyperlink r:id="rId13" w:history="1">
        <w:r w:rsidRPr="00A8252E">
          <w:rPr>
            <w:rStyle w:val="Hyperlink"/>
            <w:noProof/>
          </w:rPr>
          <w:t>http://www.fda.gov/drugs/drugsafety/postmarketdrugsafetyinformationforpatientsandproviders/ucm124830.htm</w:t>
        </w:r>
      </w:hyperlink>
    </w:p>
    <w:p w:rsidR="00760635" w:rsidRPr="00A8252E" w:rsidRDefault="00760635" w:rsidP="00760635">
      <w:pPr>
        <w:pStyle w:val="EndnoteText"/>
        <w:rPr>
          <w:noProof/>
          <w:color w:val="0000FF"/>
        </w:rPr>
      </w:pPr>
      <w:r w:rsidRPr="00A8252E">
        <w:rPr>
          <w:color w:val="0000FF"/>
        </w:rPr>
        <w:t>Huybrechts</w:t>
      </w:r>
      <w:r w:rsidRPr="00A8252E">
        <w:rPr>
          <w:noProof/>
          <w:color w:val="0000FF"/>
        </w:rPr>
        <w:t xml:space="preserve">, K.F., Gerhard, T., Crystal, S., et al.: Differential risk of death in older residents in nursing homes prescribed specific antipsychotic drugs: population based cohort study.  </w:t>
      </w:r>
      <w:r w:rsidRPr="00A8252E">
        <w:rPr>
          <w:noProof/>
          <w:color w:val="0000FF"/>
          <w:u w:val="single"/>
        </w:rPr>
        <w:t>BMJ</w:t>
      </w:r>
      <w:r w:rsidRPr="00A8252E">
        <w:rPr>
          <w:noProof/>
          <w:color w:val="0000FF"/>
        </w:rPr>
        <w:t xml:space="preserve"> 344:e977, 2012.</w:t>
      </w:r>
    </w:p>
    <w:p w:rsidR="00760635" w:rsidRPr="00A8252E" w:rsidRDefault="00760635" w:rsidP="00760635">
      <w:pPr>
        <w:pStyle w:val="EndnoteText"/>
        <w:rPr>
          <w:noProof/>
          <w:color w:val="0000FF"/>
        </w:rPr>
      </w:pPr>
      <w:r w:rsidRPr="00A8252E">
        <w:rPr>
          <w:color w:val="0000FF"/>
        </w:rPr>
        <w:t>Jackson</w:t>
      </w:r>
      <w:r w:rsidRPr="00A8252E">
        <w:rPr>
          <w:noProof/>
          <w:color w:val="0000FF"/>
        </w:rPr>
        <w:t xml:space="preserve">-Siegal, J.M., Schneider, L.S., Baskys, A., et al.: Recognizing and responding to atypical antipsychotic side effects.  </w:t>
      </w:r>
      <w:r w:rsidRPr="00A8252E">
        <w:rPr>
          <w:noProof/>
          <w:color w:val="0000FF"/>
          <w:u w:val="single"/>
        </w:rPr>
        <w:t>J Am Med Dir Assoc</w:t>
      </w:r>
      <w:r w:rsidRPr="00A8252E">
        <w:rPr>
          <w:noProof/>
          <w:color w:val="0000FF"/>
        </w:rPr>
        <w:t xml:space="preserve"> 5(4 Suppl):H7-10, 2004.</w:t>
      </w:r>
    </w:p>
    <w:p w:rsidR="00760635" w:rsidRPr="00A8252E" w:rsidRDefault="00760635" w:rsidP="00760635">
      <w:pPr>
        <w:pStyle w:val="EndnoteText"/>
        <w:rPr>
          <w:noProof/>
          <w:color w:val="0000FF"/>
        </w:rPr>
      </w:pPr>
      <w:r w:rsidRPr="00A8252E">
        <w:rPr>
          <w:color w:val="0000FF"/>
        </w:rPr>
        <w:lastRenderedPageBreak/>
        <w:t>Jeste</w:t>
      </w:r>
      <w:r w:rsidRPr="00A8252E">
        <w:rPr>
          <w:noProof/>
          <w:color w:val="0000FF"/>
        </w:rPr>
        <w:t xml:space="preserve">, D.V., Blazer, D., Casey, D., et al.: ACNP White Paper: update on use of antipsychotic drugs in elderly persons with dementia.  </w:t>
      </w:r>
      <w:r w:rsidRPr="00A8252E">
        <w:rPr>
          <w:noProof/>
          <w:color w:val="0000FF"/>
          <w:u w:val="single"/>
        </w:rPr>
        <w:t xml:space="preserve">Neuropsychopharmacology </w:t>
      </w:r>
      <w:r w:rsidRPr="00A8252E">
        <w:rPr>
          <w:noProof/>
          <w:color w:val="0000FF"/>
        </w:rPr>
        <w:t>33(5):957-970, 2008.</w:t>
      </w:r>
    </w:p>
    <w:p w:rsidR="00760635" w:rsidRPr="00A8252E" w:rsidRDefault="00760635" w:rsidP="00760635">
      <w:pPr>
        <w:pStyle w:val="EndnoteText"/>
        <w:rPr>
          <w:noProof/>
          <w:color w:val="0000FF"/>
        </w:rPr>
      </w:pPr>
      <w:r w:rsidRPr="00A8252E">
        <w:rPr>
          <w:color w:val="0000FF"/>
        </w:rPr>
        <w:t>Martin</w:t>
      </w:r>
      <w:r w:rsidRPr="00A8252E">
        <w:rPr>
          <w:noProof/>
          <w:color w:val="0000FF"/>
        </w:rPr>
        <w:t xml:space="preserve">, H., Slyk, M.P., Deymann, S., et al.: Safety profile assessment of risperidone and olanzapine in long-term care patients with dementia.  </w:t>
      </w:r>
      <w:r w:rsidRPr="00A8252E">
        <w:rPr>
          <w:noProof/>
          <w:color w:val="0000FF"/>
          <w:u w:val="single"/>
        </w:rPr>
        <w:t>J Am Med Dir Assoc</w:t>
      </w:r>
      <w:r w:rsidRPr="00A8252E">
        <w:rPr>
          <w:noProof/>
          <w:color w:val="0000FF"/>
        </w:rPr>
        <w:t xml:space="preserve"> 4(4):183-188, 2003.</w:t>
      </w:r>
    </w:p>
    <w:p w:rsidR="00760635" w:rsidRPr="00A8252E" w:rsidRDefault="00760635" w:rsidP="00760635">
      <w:pPr>
        <w:pStyle w:val="EndnoteText"/>
        <w:rPr>
          <w:noProof/>
          <w:color w:val="0000FF"/>
        </w:rPr>
      </w:pPr>
      <w:r w:rsidRPr="00A8252E">
        <w:rPr>
          <w:color w:val="0000FF"/>
        </w:rPr>
        <w:t>Neil</w:t>
      </w:r>
      <w:r w:rsidRPr="00A8252E">
        <w:rPr>
          <w:noProof/>
          <w:color w:val="0000FF"/>
        </w:rPr>
        <w:t xml:space="preserve">, W., Curran, S., and Wattis, J.: Antipsychotic prescribing in older people.  </w:t>
      </w:r>
      <w:r w:rsidRPr="00A8252E">
        <w:rPr>
          <w:noProof/>
          <w:color w:val="0000FF"/>
          <w:u w:val="single"/>
        </w:rPr>
        <w:t>Age Ageing</w:t>
      </w:r>
      <w:r w:rsidRPr="00A8252E">
        <w:rPr>
          <w:noProof/>
          <w:color w:val="0000FF"/>
        </w:rPr>
        <w:t xml:space="preserve"> 32(5):475-483, 2003.</w:t>
      </w:r>
    </w:p>
    <w:p w:rsidR="00760635" w:rsidRPr="00A8252E" w:rsidRDefault="00760635" w:rsidP="00760635">
      <w:pPr>
        <w:pStyle w:val="EndnoteText"/>
        <w:rPr>
          <w:noProof/>
          <w:color w:val="0000FF"/>
        </w:rPr>
      </w:pPr>
      <w:r w:rsidRPr="00A8252E">
        <w:rPr>
          <w:color w:val="0000FF"/>
        </w:rPr>
        <w:t>Office</w:t>
      </w:r>
      <w:r w:rsidRPr="00A8252E">
        <w:rPr>
          <w:noProof/>
          <w:color w:val="0000FF"/>
        </w:rPr>
        <w:t xml:space="preserve"> of Inspector General (OIG): Medicare Atypical Antipsychotic Drug Claims For Elderly Nursing Home Residents, 2011.</w:t>
      </w:r>
    </w:p>
    <w:p w:rsidR="00760635" w:rsidRPr="00016073" w:rsidRDefault="00760635" w:rsidP="00760635">
      <w:pPr>
        <w:pStyle w:val="EndnoteText"/>
        <w:rPr>
          <w:noProof/>
        </w:rPr>
      </w:pPr>
      <w:r w:rsidRPr="00A8252E">
        <w:rPr>
          <w:noProof/>
          <w:color w:val="0000FF"/>
        </w:rPr>
        <w:t xml:space="preserve">Rosack, J.:  FDA orders new warning on atypical antipsychotics.  </w:t>
      </w:r>
      <w:r w:rsidRPr="00A8252E">
        <w:rPr>
          <w:noProof/>
          <w:color w:val="0000FF"/>
          <w:u w:val="single"/>
        </w:rPr>
        <w:t xml:space="preserve">Psychiatr News </w:t>
      </w:r>
      <w:r w:rsidRPr="00A8252E">
        <w:rPr>
          <w:noProof/>
          <w:color w:val="0000FF"/>
        </w:rPr>
        <w:t>40(9):1-50, 2005.</w:t>
      </w:r>
    </w:p>
    <w:p w:rsidR="0062152B" w:rsidRPr="00016073" w:rsidRDefault="0062152B" w:rsidP="005922A1">
      <w:pPr>
        <w:pStyle w:val="Heading2"/>
      </w:pPr>
      <w:r w:rsidRPr="00016073">
        <w:t>Clinical Recommendation Statement</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1c16</w:t>
      </w:r>
      <w:r w:rsidR="00026658">
        <w:rPr>
          <w:rFonts w:eastAsiaTheme="minorHAnsi"/>
          <w:szCs w:val="20"/>
        </w:rPr>
        <w:t xml:space="preserve">. </w:t>
      </w:r>
      <w:r w:rsidRPr="00016073">
        <w:rPr>
          <w:rFonts w:eastAsiaTheme="minorHAnsi"/>
          <w:szCs w:val="20"/>
        </w:rPr>
        <w:t xml:space="preserve"> (This is also included in the complete Measure Justification section) This information is repeated here so that the MIF can be used as a stand-alone document</w:t>
      </w:r>
      <w:r w:rsidR="00026658">
        <w:rPr>
          <w:rFonts w:eastAsiaTheme="minorHAnsi"/>
          <w:szCs w:val="20"/>
        </w:rPr>
        <w:t xml:space="preserve">.  </w:t>
      </w:r>
      <w:r w:rsidRPr="00016073">
        <w:rPr>
          <w:rFonts w:eastAsiaTheme="minorHAnsi"/>
          <w:szCs w:val="20"/>
        </w:rPr>
        <w:t>This field is used to state the wording from the guideline.</w:t>
      </w:r>
    </w:p>
    <w:p w:rsidR="00471E6C" w:rsidRPr="00016073" w:rsidRDefault="00471E6C" w:rsidP="005922A1">
      <w:pPr>
        <w:pStyle w:val="Body"/>
      </w:pPr>
      <w:r w:rsidRPr="00016073">
        <w:t xml:space="preserve">The practice guidelines that support this measure </w:t>
      </w:r>
      <w:r w:rsidR="003E2637" w:rsidRPr="00016073">
        <w:t xml:space="preserve">are found in the </w:t>
      </w:r>
      <w:r w:rsidR="00313FA6" w:rsidRPr="00016073">
        <w:t xml:space="preserve">CMS State </w:t>
      </w:r>
      <w:r w:rsidR="003E2637" w:rsidRPr="00016073">
        <w:t>O</w:t>
      </w:r>
      <w:r w:rsidR="00313FA6" w:rsidRPr="00016073">
        <w:t xml:space="preserve">perations </w:t>
      </w:r>
      <w:r w:rsidR="003E2637" w:rsidRPr="00016073">
        <w:t>M</w:t>
      </w:r>
      <w:r w:rsidR="00313FA6" w:rsidRPr="00016073">
        <w:t>anual</w:t>
      </w:r>
      <w:r w:rsidR="003E2637" w:rsidRPr="00016073">
        <w:t>, which is used</w:t>
      </w:r>
      <w:r w:rsidR="00313FA6" w:rsidRPr="00016073">
        <w:t xml:space="preserve"> to </w:t>
      </w:r>
      <w:r w:rsidR="009F5D4B" w:rsidRPr="00016073">
        <w:t xml:space="preserve">ensure facilities </w:t>
      </w:r>
      <w:r w:rsidR="00313FA6" w:rsidRPr="00DD04AE">
        <w:t>practice</w:t>
      </w:r>
      <w:r w:rsidR="00313FA6" w:rsidRPr="00016073">
        <w:t xml:space="preserve"> in </w:t>
      </w:r>
      <w:r w:rsidR="003E2637" w:rsidRPr="00016073">
        <w:t>acc</w:t>
      </w:r>
      <w:r w:rsidR="00313FA6" w:rsidRPr="00016073">
        <w:t>ordance with clinical recommendations</w:t>
      </w:r>
      <w:r w:rsidR="00026658">
        <w:t xml:space="preserve">.  </w:t>
      </w:r>
    </w:p>
    <w:p w:rsidR="00313FA6" w:rsidRPr="00DD04AE" w:rsidRDefault="00313FA6" w:rsidP="005922A1">
      <w:pPr>
        <w:pStyle w:val="BodyText"/>
        <w:rPr>
          <w:color w:val="0000FF"/>
        </w:rPr>
      </w:pPr>
      <w:r w:rsidRPr="00DD04AE">
        <w:rPr>
          <w:color w:val="0000FF"/>
        </w:rPr>
        <w:t>State Operations Manual Appendix PP - Guidance to Surveyors for Long Term Care Facilities (Table I Medication Issues of Particular Relevance)</w:t>
      </w:r>
    </w:p>
    <w:p w:rsidR="00313FA6" w:rsidRPr="00DD04AE" w:rsidRDefault="00313FA6" w:rsidP="005922A1">
      <w:pPr>
        <w:pStyle w:val="BodyText"/>
        <w:rPr>
          <w:color w:val="0000FF"/>
        </w:rPr>
      </w:pPr>
      <w:r w:rsidRPr="00DD04AE">
        <w:rPr>
          <w:color w:val="0000FF"/>
        </w:rPr>
        <w:t xml:space="preserve">An antipsychotic medication should be used only for the following conditions/diagnoses as documented in the record and as meets the definition(s) in the Diagnostic and Statistical Manual of Mental Disorders, Fourth Edition, Training Revision (DSM-IV TR) or subsequent editions: </w:t>
      </w:r>
    </w:p>
    <w:p w:rsidR="00313FA6" w:rsidRPr="00DD04AE" w:rsidRDefault="004E2B0D" w:rsidP="005922A1">
      <w:pPr>
        <w:pStyle w:val="Bullet1"/>
        <w:rPr>
          <w:color w:val="0000FF"/>
        </w:rPr>
      </w:pPr>
      <w:r w:rsidRPr="00DD04AE">
        <w:rPr>
          <w:color w:val="0000FF"/>
        </w:rPr>
        <w:t>Schizophrenia</w:t>
      </w:r>
    </w:p>
    <w:p w:rsidR="00313FA6" w:rsidRPr="00DD04AE" w:rsidRDefault="004E2B0D" w:rsidP="005922A1">
      <w:pPr>
        <w:pStyle w:val="Bullet1"/>
        <w:rPr>
          <w:color w:val="0000FF"/>
        </w:rPr>
      </w:pPr>
      <w:r w:rsidRPr="00DD04AE">
        <w:rPr>
          <w:color w:val="0000FF"/>
        </w:rPr>
        <w:t>Schizo-affective disorder</w:t>
      </w:r>
    </w:p>
    <w:p w:rsidR="00313FA6" w:rsidRPr="00DD04AE" w:rsidRDefault="004E2B0D" w:rsidP="005922A1">
      <w:pPr>
        <w:pStyle w:val="Bullet1"/>
        <w:rPr>
          <w:color w:val="0000FF"/>
        </w:rPr>
      </w:pPr>
      <w:r w:rsidRPr="00DD04AE">
        <w:rPr>
          <w:color w:val="0000FF"/>
        </w:rPr>
        <w:t>Delusional disorder</w:t>
      </w:r>
    </w:p>
    <w:p w:rsidR="00313FA6" w:rsidRPr="00DD04AE" w:rsidRDefault="00313FA6" w:rsidP="005922A1">
      <w:pPr>
        <w:pStyle w:val="Bullet1"/>
        <w:rPr>
          <w:color w:val="0000FF"/>
        </w:rPr>
      </w:pPr>
      <w:r w:rsidRPr="00DD04AE">
        <w:rPr>
          <w:color w:val="0000FF"/>
        </w:rPr>
        <w:t>Mood disorders (e.g</w:t>
      </w:r>
      <w:r w:rsidR="00026658" w:rsidRPr="00DD04AE">
        <w:rPr>
          <w:color w:val="0000FF"/>
        </w:rPr>
        <w:t xml:space="preserve">.  </w:t>
      </w:r>
      <w:r w:rsidRPr="00DD04AE">
        <w:rPr>
          <w:color w:val="0000FF"/>
        </w:rPr>
        <w:t>mania, bipolar disorder, depression with psychotic features, and treatme</w:t>
      </w:r>
      <w:r w:rsidR="004E2B0D" w:rsidRPr="00DD04AE">
        <w:rPr>
          <w:color w:val="0000FF"/>
        </w:rPr>
        <w:t>nt refractory major depression)</w:t>
      </w:r>
    </w:p>
    <w:p w:rsidR="00313FA6" w:rsidRPr="00DD04AE" w:rsidRDefault="004E2B0D" w:rsidP="005922A1">
      <w:pPr>
        <w:pStyle w:val="Bullet1"/>
        <w:rPr>
          <w:color w:val="0000FF"/>
        </w:rPr>
      </w:pPr>
      <w:r w:rsidRPr="00DD04AE">
        <w:rPr>
          <w:color w:val="0000FF"/>
        </w:rPr>
        <w:t>Schizophreniform disorder</w:t>
      </w:r>
    </w:p>
    <w:p w:rsidR="00313FA6" w:rsidRPr="00DD04AE" w:rsidRDefault="004E2B0D" w:rsidP="005922A1">
      <w:pPr>
        <w:pStyle w:val="Bullet1"/>
        <w:rPr>
          <w:color w:val="0000FF"/>
        </w:rPr>
      </w:pPr>
      <w:r w:rsidRPr="00DD04AE">
        <w:rPr>
          <w:color w:val="0000FF"/>
        </w:rPr>
        <w:t>Psychosis NOS</w:t>
      </w:r>
    </w:p>
    <w:p w:rsidR="00313FA6" w:rsidRPr="00DD04AE" w:rsidRDefault="00313FA6" w:rsidP="005922A1">
      <w:pPr>
        <w:pStyle w:val="Bullet1"/>
        <w:rPr>
          <w:color w:val="0000FF"/>
        </w:rPr>
      </w:pPr>
      <w:r w:rsidRPr="00DD04AE">
        <w:rPr>
          <w:color w:val="0000FF"/>
        </w:rPr>
        <w:t>Atypical psychosis</w:t>
      </w:r>
    </w:p>
    <w:p w:rsidR="00313FA6" w:rsidRPr="00DD04AE" w:rsidRDefault="004E2B0D" w:rsidP="005922A1">
      <w:pPr>
        <w:pStyle w:val="Bullet1"/>
        <w:rPr>
          <w:color w:val="0000FF"/>
        </w:rPr>
      </w:pPr>
      <w:r w:rsidRPr="00DD04AE">
        <w:rPr>
          <w:color w:val="0000FF"/>
        </w:rPr>
        <w:t>Brief psychotic disorder</w:t>
      </w:r>
    </w:p>
    <w:p w:rsidR="00313FA6" w:rsidRPr="00DD04AE" w:rsidRDefault="00313FA6" w:rsidP="005922A1">
      <w:pPr>
        <w:pStyle w:val="Bullet1"/>
        <w:rPr>
          <w:color w:val="0000FF"/>
        </w:rPr>
      </w:pPr>
      <w:r w:rsidRPr="00DD04AE">
        <w:rPr>
          <w:color w:val="0000FF"/>
        </w:rPr>
        <w:t>Dementing illnesses with</w:t>
      </w:r>
      <w:r w:rsidR="004E2B0D" w:rsidRPr="00DD04AE">
        <w:rPr>
          <w:color w:val="0000FF"/>
        </w:rPr>
        <w:t xml:space="preserve"> associated behavioral symptoms</w:t>
      </w:r>
    </w:p>
    <w:p w:rsidR="00313FA6" w:rsidRPr="00DD04AE" w:rsidRDefault="00313FA6" w:rsidP="005922A1">
      <w:pPr>
        <w:pStyle w:val="Bullet1"/>
        <w:rPr>
          <w:color w:val="0000FF"/>
        </w:rPr>
      </w:pPr>
      <w:r w:rsidRPr="00DD04AE">
        <w:rPr>
          <w:color w:val="0000FF"/>
        </w:rPr>
        <w:t>Medical illnesses or delirium with manic or psychotic symptoms and/or treatment-related psychosis or mania (e.g., thyrotoxicosis,</w:t>
      </w:r>
      <w:r w:rsidR="004E2B0D" w:rsidRPr="00DD04AE">
        <w:rPr>
          <w:color w:val="0000FF"/>
        </w:rPr>
        <w:t xml:space="preserve"> neoplasms, high dose steroids)</w:t>
      </w:r>
    </w:p>
    <w:p w:rsidR="00313FA6" w:rsidRPr="00DD04AE" w:rsidRDefault="00313FA6" w:rsidP="005922A1">
      <w:pPr>
        <w:pStyle w:val="Bullet1"/>
        <w:rPr>
          <w:color w:val="0000FF"/>
        </w:rPr>
      </w:pPr>
      <w:r w:rsidRPr="00DD04AE">
        <w:rPr>
          <w:color w:val="0000FF"/>
        </w:rPr>
        <w:t>In addition, the use of an antipsychotic must meet the criteria and applicable, additional re</w:t>
      </w:r>
      <w:r w:rsidR="004E2B0D" w:rsidRPr="00DD04AE">
        <w:rPr>
          <w:color w:val="0000FF"/>
        </w:rPr>
        <w:t>quirements listed below:</w:t>
      </w:r>
    </w:p>
    <w:p w:rsidR="00313FA6" w:rsidRPr="00DD04AE" w:rsidRDefault="00313FA6" w:rsidP="00A64C6A">
      <w:pPr>
        <w:pStyle w:val="List1"/>
        <w:ind w:left="1080"/>
      </w:pPr>
      <w:r w:rsidRPr="00DD04AE">
        <w:t>1</w:t>
      </w:r>
      <w:r w:rsidR="00026658" w:rsidRPr="00DD04AE">
        <w:t xml:space="preserve">.  </w:t>
      </w:r>
      <w:r w:rsidR="005922A1" w:rsidRPr="00DD04AE">
        <w:tab/>
      </w:r>
      <w:r w:rsidRPr="00DD04AE">
        <w:t xml:space="preserve">Criteria: </w:t>
      </w:r>
    </w:p>
    <w:p w:rsidR="00313FA6" w:rsidRPr="00DD04AE" w:rsidRDefault="00313FA6" w:rsidP="00A64C6A">
      <w:pPr>
        <w:pStyle w:val="Bullet2"/>
        <w:ind w:left="1440"/>
        <w:rPr>
          <w:color w:val="0000FF"/>
        </w:rPr>
      </w:pPr>
      <w:r w:rsidRPr="00DD04AE">
        <w:rPr>
          <w:color w:val="0000FF"/>
        </w:rPr>
        <w:lastRenderedPageBreak/>
        <w:t xml:space="preserve">Since diagnoses alone do not warrant the use of antipsychotic medications, the clinical condition must also meet at least one of the following criteria (A or B or C): </w:t>
      </w:r>
    </w:p>
    <w:p w:rsidR="0044266B" w:rsidRPr="00DD04AE" w:rsidRDefault="00313FA6" w:rsidP="00A64C6A">
      <w:pPr>
        <w:pStyle w:val="BodyIndent2"/>
        <w:ind w:left="1800"/>
      </w:pPr>
      <w:r w:rsidRPr="00DD04AE">
        <w:t>A</w:t>
      </w:r>
      <w:r w:rsidR="00026658" w:rsidRPr="00DD04AE">
        <w:t xml:space="preserve">.  </w:t>
      </w:r>
      <w:r w:rsidR="005922A1" w:rsidRPr="00DD04AE">
        <w:tab/>
      </w:r>
      <w:r w:rsidRPr="00DD04AE">
        <w:t xml:space="preserve">The symptoms are identified as being due to mania or psychosis (such as: auditory, visual, or other hallucinations; delusions (such as paranoia or grandiosity)); OR </w:t>
      </w:r>
    </w:p>
    <w:p w:rsidR="0044266B" w:rsidRPr="00DD04AE" w:rsidRDefault="00313FA6" w:rsidP="00A64C6A">
      <w:pPr>
        <w:pStyle w:val="BodyIndent2"/>
        <w:ind w:left="1800"/>
      </w:pPr>
      <w:r w:rsidRPr="00DD04AE">
        <w:t>B</w:t>
      </w:r>
      <w:r w:rsidR="00026658" w:rsidRPr="00DD04AE">
        <w:t xml:space="preserve">.  </w:t>
      </w:r>
      <w:r w:rsidR="005922A1" w:rsidRPr="00DD04AE">
        <w:tab/>
      </w:r>
      <w:r w:rsidRPr="00DD04AE">
        <w:t xml:space="preserve">The behavioral symptoms present a danger to the resident or to others; OR </w:t>
      </w:r>
    </w:p>
    <w:p w:rsidR="0044266B" w:rsidRPr="00DD04AE" w:rsidRDefault="00313FA6" w:rsidP="00A64C6A">
      <w:pPr>
        <w:pStyle w:val="BodyIndent2"/>
        <w:ind w:left="1800"/>
      </w:pPr>
      <w:r w:rsidRPr="00DD04AE">
        <w:t>C</w:t>
      </w:r>
      <w:r w:rsidR="00026658" w:rsidRPr="00DD04AE">
        <w:t xml:space="preserve">.  </w:t>
      </w:r>
      <w:r w:rsidR="005922A1" w:rsidRPr="00DD04AE">
        <w:tab/>
      </w:r>
      <w:r w:rsidRPr="00DD04AE">
        <w:t>The symptoms are significant enough that the resident is experiencing one or more of the following: inconsolable or persistent distress (e.g., fear, continuously yelling, screaming, distress associated with end-of-life, or crying); a significant decline in function; and/or substantial difficulty receiving needed care (e.g., not eating resulting in weight loss, fear and not bathing leading to skin breakdown or infection)</w:t>
      </w:r>
      <w:r w:rsidR="00026658" w:rsidRPr="00DD04AE">
        <w:t xml:space="preserve">.  </w:t>
      </w:r>
    </w:p>
    <w:p w:rsidR="00313FA6" w:rsidRPr="00DD04AE" w:rsidRDefault="00313FA6" w:rsidP="00A64C6A">
      <w:pPr>
        <w:pStyle w:val="List1"/>
        <w:ind w:left="1080"/>
      </w:pPr>
      <w:r w:rsidRPr="00DD04AE">
        <w:t>2</w:t>
      </w:r>
      <w:r w:rsidR="00026658" w:rsidRPr="00DD04AE">
        <w:t xml:space="preserve">.  </w:t>
      </w:r>
      <w:r w:rsidR="005922A1" w:rsidRPr="00DD04AE">
        <w:tab/>
      </w:r>
      <w:r w:rsidRPr="00DD04AE">
        <w:t xml:space="preserve">Additional Requirements: </w:t>
      </w:r>
    </w:p>
    <w:p w:rsidR="00A64C6A" w:rsidRPr="00DD04AE" w:rsidRDefault="00313FA6" w:rsidP="00A64C6A">
      <w:pPr>
        <w:pStyle w:val="Bullet2"/>
        <w:ind w:left="1440"/>
        <w:rPr>
          <w:color w:val="0000FF"/>
        </w:rPr>
      </w:pPr>
      <w:r w:rsidRPr="00DD04AE">
        <w:rPr>
          <w:color w:val="0000FF"/>
        </w:rPr>
        <w:t>Acute Psychiatric Situations</w:t>
      </w:r>
    </w:p>
    <w:p w:rsidR="00313FA6" w:rsidRPr="00DD04AE" w:rsidRDefault="00313FA6" w:rsidP="00A64C6A">
      <w:pPr>
        <w:pStyle w:val="BulletText"/>
        <w:ind w:left="1440"/>
        <w:rPr>
          <w:color w:val="0000FF"/>
        </w:rPr>
      </w:pPr>
      <w:r w:rsidRPr="00DD04AE">
        <w:rPr>
          <w:color w:val="0000FF"/>
        </w:rPr>
        <w:t xml:space="preserve">When an antipsychotic medication is being initiated or used to treat an acute psychiatric emergency (i.e., recent or abrupt onset or exacerbation of symptoms) related to one or more of the aforementioned conditions/diagnoses, that use must meet one of the above criteria and all of the following additional requirements: </w:t>
      </w:r>
    </w:p>
    <w:p w:rsidR="0044266B" w:rsidRPr="00DD04AE" w:rsidRDefault="00313FA6" w:rsidP="00A64C6A">
      <w:pPr>
        <w:pStyle w:val="BodyIndent2"/>
        <w:ind w:left="1800"/>
      </w:pPr>
      <w:r w:rsidRPr="00DD04AE">
        <w:t>A</w:t>
      </w:r>
      <w:r w:rsidR="00026658" w:rsidRPr="00DD04AE">
        <w:t xml:space="preserve">.  </w:t>
      </w:r>
      <w:r w:rsidR="005922A1" w:rsidRPr="00DD04AE">
        <w:tab/>
      </w:r>
      <w:r w:rsidRPr="00DD04AE">
        <w:t xml:space="preserve">The acute treatment period is limited to seven days or less; and </w:t>
      </w:r>
    </w:p>
    <w:p w:rsidR="0044266B" w:rsidRPr="00DD04AE" w:rsidRDefault="00313FA6" w:rsidP="00A64C6A">
      <w:pPr>
        <w:pStyle w:val="BodyIndent2"/>
        <w:ind w:left="1800"/>
      </w:pPr>
      <w:r w:rsidRPr="00DD04AE">
        <w:t>B</w:t>
      </w:r>
      <w:r w:rsidR="00026658" w:rsidRPr="00DD04AE">
        <w:t xml:space="preserve">.  </w:t>
      </w:r>
      <w:r w:rsidR="005922A1" w:rsidRPr="00DD04AE">
        <w:tab/>
      </w:r>
      <w:r w:rsidRPr="00DD04AE">
        <w:t xml:space="preserve">A clinician in conjunction with the interdisciplinary team must evaluate and document the situation within 7 days, to identify and address any contributing and underlying causes of the acute psychiatric condition and verify the continuing need for antipsychotic medication; and </w:t>
      </w:r>
    </w:p>
    <w:p w:rsidR="0044266B" w:rsidRPr="00DD04AE" w:rsidRDefault="00313FA6" w:rsidP="00A64C6A">
      <w:pPr>
        <w:pStyle w:val="BodyIndent2"/>
        <w:ind w:left="1800"/>
      </w:pPr>
      <w:r w:rsidRPr="00DD04AE">
        <w:t>C</w:t>
      </w:r>
      <w:r w:rsidR="00026658" w:rsidRPr="00DD04AE">
        <w:t xml:space="preserve">.  </w:t>
      </w:r>
      <w:r w:rsidR="005922A1" w:rsidRPr="00DD04AE">
        <w:tab/>
      </w:r>
      <w:r w:rsidRPr="00DD04AE">
        <w:t>Pertinent non-pharmacological interventions must be attempted, unless contraindicated, and documented following the resolution of the acute psychiatric situation</w:t>
      </w:r>
      <w:r w:rsidR="00026658" w:rsidRPr="00DD04AE">
        <w:t xml:space="preserve">.  </w:t>
      </w:r>
    </w:p>
    <w:p w:rsidR="00313FA6" w:rsidRPr="00DD04AE" w:rsidRDefault="00313FA6" w:rsidP="00A64C6A">
      <w:pPr>
        <w:pStyle w:val="Bullet2"/>
        <w:ind w:left="1440"/>
        <w:rPr>
          <w:color w:val="0000FF"/>
        </w:rPr>
      </w:pPr>
      <w:r w:rsidRPr="00DD04AE">
        <w:rPr>
          <w:color w:val="0000FF"/>
        </w:rPr>
        <w:t xml:space="preserve">Enduring Psychiatric Conditions </w:t>
      </w:r>
    </w:p>
    <w:p w:rsidR="00313FA6" w:rsidRPr="00DD04AE" w:rsidRDefault="00313FA6" w:rsidP="00A64C6A">
      <w:pPr>
        <w:pStyle w:val="BulletText"/>
        <w:ind w:left="1440"/>
        <w:rPr>
          <w:color w:val="0000FF"/>
        </w:rPr>
      </w:pPr>
      <w:r w:rsidRPr="00DD04AE">
        <w:rPr>
          <w:color w:val="0000FF"/>
        </w:rPr>
        <w:t>Antipsychotic medications may be used to treat an enduring (i.e., non-acute, chronic, or prolonged) condition, if the clinical condition/diagnosis meets the criteria in #1 above</w:t>
      </w:r>
      <w:r w:rsidR="00026658" w:rsidRPr="00DD04AE">
        <w:rPr>
          <w:color w:val="0000FF"/>
        </w:rPr>
        <w:t xml:space="preserve">.  </w:t>
      </w:r>
      <w:r w:rsidRPr="00DD04AE">
        <w:rPr>
          <w:color w:val="0000FF"/>
        </w:rPr>
        <w:t xml:space="preserve">In addition, before initiating or increasing an antipsychotic medication for enduring conditions, the target behavior must be clearly and specifically identified and monitored objectively and qualitatively, in order to ensure the behavioral symptoms are: </w:t>
      </w:r>
    </w:p>
    <w:p w:rsidR="0044266B" w:rsidRPr="00DD04AE" w:rsidRDefault="00313FA6" w:rsidP="00A64C6A">
      <w:pPr>
        <w:pStyle w:val="BodyIndent2"/>
        <w:ind w:left="1800"/>
      </w:pPr>
      <w:r w:rsidRPr="00DD04AE">
        <w:t>A</w:t>
      </w:r>
      <w:r w:rsidR="00026658" w:rsidRPr="00DD04AE">
        <w:t xml:space="preserve">.  </w:t>
      </w:r>
      <w:r w:rsidR="005922A1" w:rsidRPr="00DD04AE">
        <w:tab/>
      </w:r>
      <w:r w:rsidRPr="00DD04AE">
        <w:t xml:space="preserve">Not due to a medical condition or problem (e.g., headache or joint pain, fluid or electrolyte imbalance, pneumonia, hypoxia, unrecognized hearing or visual impairment) that can be expected to improve or resolve as the underlying condition is treated; and </w:t>
      </w:r>
    </w:p>
    <w:p w:rsidR="0044266B" w:rsidRPr="00DD04AE" w:rsidRDefault="00313FA6" w:rsidP="00A64C6A">
      <w:pPr>
        <w:pStyle w:val="BodyIndent2"/>
        <w:ind w:left="1800"/>
      </w:pPr>
      <w:r w:rsidRPr="00DD04AE">
        <w:t>B</w:t>
      </w:r>
      <w:r w:rsidR="00026658" w:rsidRPr="00DD04AE">
        <w:t xml:space="preserve">.  </w:t>
      </w:r>
      <w:r w:rsidR="005922A1" w:rsidRPr="00DD04AE">
        <w:tab/>
      </w:r>
      <w:r w:rsidRPr="00DD04AE">
        <w:t xml:space="preserve">Persistent or likely to reoccur without continued treatment; and </w:t>
      </w:r>
    </w:p>
    <w:p w:rsidR="0044266B" w:rsidRPr="00DD04AE" w:rsidRDefault="00313FA6" w:rsidP="00A64C6A">
      <w:pPr>
        <w:pStyle w:val="BodyIndent2"/>
        <w:ind w:left="1800"/>
      </w:pPr>
      <w:r w:rsidRPr="00DD04AE">
        <w:t>C</w:t>
      </w:r>
      <w:r w:rsidR="00026658" w:rsidRPr="00DD04AE">
        <w:t xml:space="preserve">.  </w:t>
      </w:r>
      <w:r w:rsidR="005922A1" w:rsidRPr="00DD04AE">
        <w:tab/>
      </w:r>
      <w:r w:rsidRPr="00DD04AE">
        <w:t xml:space="preserve">Not sufficiently relieved by non-pharmacological interventions; and </w:t>
      </w:r>
    </w:p>
    <w:p w:rsidR="0044266B" w:rsidRPr="00DD04AE" w:rsidRDefault="00313FA6" w:rsidP="00A64C6A">
      <w:pPr>
        <w:pStyle w:val="BodyIndent2"/>
        <w:ind w:left="1800"/>
      </w:pPr>
      <w:r w:rsidRPr="00DD04AE">
        <w:t>D</w:t>
      </w:r>
      <w:r w:rsidR="00026658" w:rsidRPr="00DD04AE">
        <w:t xml:space="preserve">.  </w:t>
      </w:r>
      <w:r w:rsidR="005922A1" w:rsidRPr="00DD04AE">
        <w:tab/>
      </w:r>
      <w:r w:rsidRPr="00DD04AE">
        <w:t xml:space="preserve">Not due to environmental stressors (e.g., alteration in the resident’s customary location or daily routine, unfamiliar care provider, hunger or thirst, excessive noise for that individual, inadequate or inappropriate staff response, physical barriers) that can be addressed to improve the psychotic symptoms or maintain safety; and </w:t>
      </w:r>
    </w:p>
    <w:p w:rsidR="0044266B" w:rsidRPr="00DD04AE" w:rsidRDefault="00313FA6" w:rsidP="00A64C6A">
      <w:pPr>
        <w:pStyle w:val="BodyIndent2"/>
        <w:ind w:left="1800"/>
      </w:pPr>
      <w:r w:rsidRPr="00DD04AE">
        <w:t>E</w:t>
      </w:r>
      <w:r w:rsidR="00026658" w:rsidRPr="00DD04AE">
        <w:t xml:space="preserve">.  </w:t>
      </w:r>
      <w:r w:rsidR="005922A1" w:rsidRPr="00DD04AE">
        <w:tab/>
      </w:r>
      <w:r w:rsidRPr="00DD04AE">
        <w:t xml:space="preserve">Not due to psychological stressors (e.g., loneliness, taunting, abuse), or anxiety or fear stemming from misunderstanding related to his or her cognitive impairment (e.g., the mistaken belief that this </w:t>
      </w:r>
      <w:r w:rsidRPr="00DD04AE">
        <w:lastRenderedPageBreak/>
        <w:t xml:space="preserve">is not where he/she lives or inability to find his or her clothes or glasses) that can be expected to improve or resolve as the situation is addressed </w:t>
      </w:r>
    </w:p>
    <w:p w:rsidR="0044266B" w:rsidRPr="00DD04AE" w:rsidRDefault="00313FA6" w:rsidP="00A64C6A">
      <w:pPr>
        <w:pStyle w:val="Bullet2"/>
        <w:ind w:left="1440"/>
        <w:rPr>
          <w:color w:val="0000FF"/>
        </w:rPr>
      </w:pPr>
      <w:r w:rsidRPr="00DD04AE">
        <w:rPr>
          <w:color w:val="0000FF"/>
        </w:rPr>
        <w:t xml:space="preserve">After initiating or increasing the dose of an antipsychotic medication, the behavioral symptoms must be reevaluated periodically to determine the effectiveness of the antipsychotic and the potential for reducing or discontinuing the dose </w:t>
      </w:r>
    </w:p>
    <w:p w:rsidR="00313FA6" w:rsidRPr="00DD04AE" w:rsidRDefault="00313FA6" w:rsidP="005922A1">
      <w:pPr>
        <w:pStyle w:val="BodyText"/>
        <w:rPr>
          <w:color w:val="0000FF"/>
        </w:rPr>
      </w:pPr>
      <w:r w:rsidRPr="00DD04AE">
        <w:rPr>
          <w:b/>
          <w:bCs/>
          <w:color w:val="0000FF"/>
        </w:rPr>
        <w:t xml:space="preserve">Exception: </w:t>
      </w:r>
      <w:r w:rsidRPr="00DD04AE">
        <w:rPr>
          <w:color w:val="0000FF"/>
        </w:rPr>
        <w:t>When antipsychotic medications are used for behavioral disturbances related to Tourette’s disorder, or for non-psychiatric indications such as movement disorders associated with Huntington’s disease, hiccups, nausea and vomiting associated with cancer or cancer chemotherapy, or adjunctive therapy at end of life</w:t>
      </w:r>
      <w:r w:rsidR="00026658" w:rsidRPr="00DD04AE">
        <w:rPr>
          <w:color w:val="0000FF"/>
        </w:rPr>
        <w:t xml:space="preserve">.  </w:t>
      </w:r>
    </w:p>
    <w:p w:rsidR="00313FA6" w:rsidRPr="00F938F7" w:rsidRDefault="00313FA6" w:rsidP="00A64C6A">
      <w:pPr>
        <w:pStyle w:val="BodyText"/>
        <w:rPr>
          <w:b/>
          <w:bCs/>
          <w:color w:val="0000FF"/>
        </w:rPr>
      </w:pPr>
      <w:r w:rsidRPr="00F938F7">
        <w:rPr>
          <w:b/>
          <w:bCs/>
          <w:color w:val="0000FF"/>
        </w:rPr>
        <w:t>Inadequate Indications</w:t>
      </w:r>
    </w:p>
    <w:p w:rsidR="00313FA6" w:rsidRPr="00DD04AE" w:rsidRDefault="00313FA6" w:rsidP="004E2B0D">
      <w:pPr>
        <w:pStyle w:val="BodyText"/>
        <w:rPr>
          <w:color w:val="0000FF"/>
        </w:rPr>
      </w:pPr>
      <w:r w:rsidRPr="00DD04AE">
        <w:rPr>
          <w:color w:val="0000FF"/>
        </w:rPr>
        <w:t>In many situations, antipsychotic medications are not indicated</w:t>
      </w:r>
      <w:r w:rsidR="00026658" w:rsidRPr="00DD04AE">
        <w:rPr>
          <w:color w:val="0000FF"/>
        </w:rPr>
        <w:t xml:space="preserve">.  </w:t>
      </w:r>
      <w:r w:rsidRPr="00DD04AE">
        <w:rPr>
          <w:color w:val="0000FF"/>
        </w:rPr>
        <w:t>They should not be used if the only indication is one or more of the following:</w:t>
      </w:r>
      <w:r w:rsidR="00CF1282" w:rsidRPr="00DD04AE">
        <w:rPr>
          <w:color w:val="0000FF"/>
        </w:rPr>
        <w:t xml:space="preserve"> </w:t>
      </w:r>
      <w:r w:rsidRPr="00DD04AE">
        <w:rPr>
          <w:color w:val="0000FF"/>
        </w:rPr>
        <w:t xml:space="preserve"> 1) wandering; 2) poor self-care; 3) restlessness; 4) impaired memory; 5) mild anxiety; 6) insomnia; 7) unsociability; 8) inattention or indifference to surroundings; 9) fidgeting; 10) nervousness; 11) uncooperativeness; or 12) verbal expressions or behavior that are not due to the conditions listed under “Indications” and do not represent a danger to the resident or others</w:t>
      </w:r>
      <w:r w:rsidR="00026658" w:rsidRPr="00DD04AE">
        <w:rPr>
          <w:color w:val="0000FF"/>
        </w:rPr>
        <w:t xml:space="preserve">.  </w:t>
      </w:r>
    </w:p>
    <w:p w:rsidR="0062152B" w:rsidRPr="00016073" w:rsidRDefault="0062152B" w:rsidP="004E2B0D">
      <w:pPr>
        <w:pStyle w:val="Heading2"/>
      </w:pPr>
      <w:r w:rsidRPr="002F0566">
        <w:t>References</w:t>
      </w:r>
    </w:p>
    <w:p w:rsidR="0062152B" w:rsidRPr="00016073" w:rsidRDefault="0062152B" w:rsidP="00E81F46">
      <w:pPr>
        <w:pStyle w:val="ListParagraph"/>
        <w:numPr>
          <w:ilvl w:val="0"/>
          <w:numId w:val="5"/>
        </w:numPr>
        <w:rPr>
          <w:rFonts w:eastAsiaTheme="minorHAnsi"/>
          <w:bCs/>
          <w:szCs w:val="20"/>
        </w:rPr>
      </w:pPr>
      <w:r w:rsidRPr="00F938F7">
        <w:rPr>
          <w:rFonts w:eastAsiaTheme="minorHAnsi"/>
          <w:szCs w:val="20"/>
        </w:rPr>
        <w:t>1c17</w:t>
      </w:r>
      <w:r w:rsidRPr="00016073">
        <w:rPr>
          <w:rFonts w:eastAsiaTheme="minorHAnsi"/>
          <w:szCs w:val="20"/>
        </w:rPr>
        <w:t xml:space="preserve"> Provide references for the guideline used or studies if there is not a guideline.</w:t>
      </w:r>
    </w:p>
    <w:p w:rsidR="00AE3D7B" w:rsidRPr="00E103F2" w:rsidRDefault="00AE3D7B" w:rsidP="004E2B0D">
      <w:pPr>
        <w:pStyle w:val="EndnoteText"/>
        <w:rPr>
          <w:noProof/>
          <w:color w:val="0000FF"/>
        </w:rPr>
      </w:pPr>
      <w:r w:rsidRPr="00E103F2">
        <w:rPr>
          <w:noProof/>
          <w:color w:val="0000FF"/>
        </w:rPr>
        <w:t xml:space="preserve">CMS: State Operations </w:t>
      </w:r>
      <w:r w:rsidRPr="00E103F2">
        <w:rPr>
          <w:color w:val="0000FF"/>
        </w:rPr>
        <w:t>Manual</w:t>
      </w:r>
      <w:r w:rsidR="00026658" w:rsidRPr="00E103F2">
        <w:rPr>
          <w:noProof/>
          <w:color w:val="0000FF"/>
        </w:rPr>
        <w:t xml:space="preserve">.  </w:t>
      </w:r>
      <w:r w:rsidRPr="00E103F2">
        <w:rPr>
          <w:noProof/>
          <w:color w:val="0000FF"/>
        </w:rPr>
        <w:t>Appendix PP—Guidance to Surveyors for Long Term Care Facilities</w:t>
      </w:r>
      <w:r w:rsidR="00026658" w:rsidRPr="00E103F2">
        <w:rPr>
          <w:noProof/>
          <w:color w:val="0000FF"/>
        </w:rPr>
        <w:t xml:space="preserve">.  </w:t>
      </w:r>
      <w:hyperlink r:id="rId14" w:history="1">
        <w:r w:rsidRPr="00E103F2">
          <w:rPr>
            <w:rStyle w:val="Hyperlink"/>
            <w:noProof/>
          </w:rPr>
          <w:t>http://www.cms.gov/Regulations-and-Guidance/Guidance/Manuals/downloads/som107ap_pp_guidelines_ltcf.pdf</w:t>
        </w:r>
      </w:hyperlink>
    </w:p>
    <w:p w:rsidR="0062152B" w:rsidRPr="00016073" w:rsidRDefault="0062152B" w:rsidP="004E2B0D">
      <w:pPr>
        <w:pStyle w:val="Heading2"/>
      </w:pPr>
      <w:r w:rsidRPr="00016073">
        <w:t>Release Notes / Summary of Changes</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Describe changes to measure if this is not the original version</w:t>
      </w:r>
    </w:p>
    <w:p w:rsidR="00CC51F4" w:rsidRPr="00016073" w:rsidRDefault="00CC51F4" w:rsidP="00F938F7">
      <w:pPr>
        <w:pStyle w:val="BodyText"/>
        <w:rPr>
          <w:rFonts w:asciiTheme="minorHAnsi" w:hAnsiTheme="minorHAnsi" w:cstheme="majorBidi"/>
          <w:bCs/>
          <w:iCs/>
          <w:color w:val="0000FF"/>
        </w:rPr>
      </w:pPr>
      <w:r w:rsidRPr="00016073">
        <w:rPr>
          <w:rFonts w:asciiTheme="minorHAnsi" w:hAnsiTheme="minorHAnsi" w:cstheme="majorBidi"/>
          <w:bCs/>
          <w:iCs/>
          <w:color w:val="0000FF"/>
        </w:rPr>
        <w:t xml:space="preserve">This is not </w:t>
      </w:r>
      <w:r w:rsidRPr="00F938F7">
        <w:rPr>
          <w:color w:val="0000FF"/>
        </w:rPr>
        <w:t>applicable</w:t>
      </w:r>
      <w:r w:rsidR="00026658">
        <w:rPr>
          <w:rFonts w:asciiTheme="minorHAnsi" w:hAnsiTheme="minorHAnsi" w:cstheme="majorBidi"/>
          <w:bCs/>
          <w:iCs/>
          <w:color w:val="0000FF"/>
        </w:rPr>
        <w:t xml:space="preserve">.  </w:t>
      </w:r>
      <w:r w:rsidRPr="00016073">
        <w:rPr>
          <w:rFonts w:asciiTheme="minorHAnsi" w:hAnsiTheme="minorHAnsi" w:cstheme="majorBidi"/>
          <w:bCs/>
          <w:iCs/>
          <w:color w:val="0000FF"/>
        </w:rPr>
        <w:t>This is a proposed new measure</w:t>
      </w:r>
      <w:r w:rsidR="00026658">
        <w:rPr>
          <w:rFonts w:asciiTheme="minorHAnsi" w:hAnsiTheme="minorHAnsi" w:cstheme="majorBidi"/>
          <w:bCs/>
          <w:iCs/>
          <w:color w:val="0000FF"/>
        </w:rPr>
        <w:t xml:space="preserve">.  </w:t>
      </w:r>
    </w:p>
    <w:p w:rsidR="0062152B" w:rsidRPr="00016073" w:rsidRDefault="0062152B" w:rsidP="004E2B0D">
      <w:pPr>
        <w:pStyle w:val="Heading2"/>
      </w:pPr>
      <w:r w:rsidRPr="00016073">
        <w:t>Technical Specifications</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Target Population</w:t>
      </w:r>
    </w:p>
    <w:p w:rsidR="0062152B" w:rsidRPr="00016073" w:rsidRDefault="0062152B" w:rsidP="00F938F7">
      <w:pPr>
        <w:pStyle w:val="Body2"/>
        <w:rPr>
          <w:color w:val="0000FF"/>
        </w:rPr>
      </w:pPr>
      <w:r w:rsidRPr="00016073">
        <w:t>NQF form 2a1.5, “Target Population Category” does not match the intent of this field</w:t>
      </w:r>
      <w:r w:rsidR="00026658">
        <w:t xml:space="preserve">.  </w:t>
      </w:r>
      <w:r w:rsidRPr="00016073">
        <w:t>The intent of this field was to approximate the e-measure filed “Initial Population.” NQF uses the term “Target Population” to mean “denominator.”</w:t>
      </w:r>
    </w:p>
    <w:p w:rsidR="00CC51F4" w:rsidRPr="00016073" w:rsidRDefault="00CC51F4" w:rsidP="00F938F7">
      <w:pPr>
        <w:pStyle w:val="BodyText"/>
        <w:rPr>
          <w:rFonts w:cstheme="minorHAnsi"/>
        </w:rPr>
      </w:pPr>
      <w:r w:rsidRPr="00B14BCD">
        <w:rPr>
          <w:rFonts w:asciiTheme="minorHAnsi" w:hAnsiTheme="minorHAnsi" w:cstheme="majorBidi"/>
          <w:bCs/>
          <w:iCs/>
          <w:color w:val="0000FF"/>
        </w:rPr>
        <w:t xml:space="preserve">The target population includes long-stay residents of all ages who </w:t>
      </w:r>
      <w:r w:rsidR="00654888" w:rsidRPr="00B14BCD">
        <w:rPr>
          <w:rFonts w:asciiTheme="minorHAnsi" w:hAnsiTheme="minorHAnsi" w:cstheme="majorBidi"/>
          <w:bCs/>
          <w:iCs/>
          <w:color w:val="0000FF"/>
        </w:rPr>
        <w:t>reside in the nursing home</w:t>
      </w:r>
      <w:r w:rsidRPr="00B14BCD">
        <w:rPr>
          <w:rFonts w:asciiTheme="minorHAnsi" w:hAnsiTheme="minorHAnsi" w:cstheme="majorBidi"/>
          <w:bCs/>
          <w:iCs/>
          <w:color w:val="0000FF"/>
        </w:rPr>
        <w:t>.</w:t>
      </w:r>
    </w:p>
    <w:p w:rsidR="0062152B" w:rsidRPr="00016073" w:rsidRDefault="0062152B" w:rsidP="005922A1">
      <w:pPr>
        <w:pStyle w:val="Heading2"/>
      </w:pPr>
      <w:r w:rsidRPr="00016073">
        <w:t>Denominator</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Denominator Statement</w:t>
      </w:r>
    </w:p>
    <w:p w:rsidR="0062152B" w:rsidRPr="00016073" w:rsidRDefault="0062152B" w:rsidP="00F938F7">
      <w:pPr>
        <w:pStyle w:val="Body2"/>
      </w:pPr>
      <w:r w:rsidRPr="00016073">
        <w:t>2a1.4</w:t>
      </w:r>
      <w:r w:rsidR="00026658">
        <w:t xml:space="preserve">.  </w:t>
      </w:r>
      <w:r w:rsidRPr="00016073">
        <w:t>Designate the broadest population based on the evidence for which the target process, condition, event, and outcome is applicable</w:t>
      </w:r>
      <w:r w:rsidR="00026658">
        <w:t xml:space="preserve">.  </w:t>
      </w:r>
      <w:r w:rsidRPr="00016073">
        <w:t>The target population should indicate age, setting, and time frame for identifying the target population.</w:t>
      </w:r>
    </w:p>
    <w:p w:rsidR="0062152B" w:rsidRPr="00016073" w:rsidRDefault="0062152B" w:rsidP="00A64C6A">
      <w:pPr>
        <w:pStyle w:val="TextCenter"/>
      </w:pPr>
      <w:r w:rsidRPr="00016073">
        <w:t>Patient’s [age] with [condition] in [setting] during [time frame]</w:t>
      </w:r>
    </w:p>
    <w:p w:rsidR="00D95347" w:rsidRPr="00016073" w:rsidRDefault="00D95347" w:rsidP="00F938F7">
      <w:pPr>
        <w:pStyle w:val="BodyText"/>
        <w:rPr>
          <w:b/>
          <w:i/>
        </w:rPr>
      </w:pPr>
      <w:r w:rsidRPr="00B14BCD">
        <w:rPr>
          <w:rFonts w:asciiTheme="minorHAnsi" w:hAnsiTheme="minorHAnsi" w:cstheme="majorBidi"/>
          <w:bCs/>
          <w:iCs/>
          <w:color w:val="0000FF"/>
        </w:rPr>
        <w:t xml:space="preserve">The denominator is the total of all long-stay residents in the nursing </w:t>
      </w:r>
      <w:r w:rsidR="002B1628" w:rsidRPr="00B14BCD">
        <w:rPr>
          <w:rFonts w:asciiTheme="minorHAnsi" w:hAnsiTheme="minorHAnsi" w:cstheme="majorBidi"/>
          <w:bCs/>
          <w:iCs/>
          <w:color w:val="0000FF"/>
        </w:rPr>
        <w:t xml:space="preserve">home </w:t>
      </w:r>
      <w:r w:rsidRPr="00B14BCD">
        <w:rPr>
          <w:rFonts w:asciiTheme="minorHAnsi" w:hAnsiTheme="minorHAnsi" w:cstheme="majorBidi"/>
          <w:bCs/>
          <w:iCs/>
          <w:color w:val="0000FF"/>
        </w:rPr>
        <w:t xml:space="preserve">who have </w:t>
      </w:r>
      <w:r w:rsidR="00ED3656" w:rsidRPr="00B14BCD">
        <w:rPr>
          <w:rFonts w:asciiTheme="minorHAnsi" w:hAnsiTheme="minorHAnsi" w:cstheme="majorBidi"/>
          <w:bCs/>
          <w:iCs/>
          <w:color w:val="0000FF"/>
        </w:rPr>
        <w:t>an OBRA, PPS or discharge MDS assessment</w:t>
      </w:r>
      <w:r w:rsidRPr="00B14BCD">
        <w:rPr>
          <w:rFonts w:asciiTheme="minorHAnsi" w:hAnsiTheme="minorHAnsi" w:cstheme="majorBidi"/>
          <w:bCs/>
          <w:iCs/>
          <w:color w:val="0000FF"/>
        </w:rPr>
        <w:t xml:space="preserve"> during the </w:t>
      </w:r>
      <w:r w:rsidR="0024128C" w:rsidRPr="00B14BCD">
        <w:rPr>
          <w:rFonts w:asciiTheme="minorHAnsi" w:hAnsiTheme="minorHAnsi" w:cstheme="majorBidi"/>
          <w:bCs/>
          <w:iCs/>
          <w:color w:val="0000FF"/>
        </w:rPr>
        <w:t>target period</w:t>
      </w:r>
      <w:r w:rsidRPr="00B14BCD">
        <w:rPr>
          <w:rFonts w:asciiTheme="minorHAnsi" w:hAnsiTheme="minorHAnsi" w:cstheme="majorBidi"/>
          <w:bCs/>
          <w:iCs/>
          <w:color w:val="0000FF"/>
        </w:rPr>
        <w:t xml:space="preserve"> except for those who meet exclusion criteria (see the exclusion criteria).</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Denominator Details</w:t>
      </w:r>
    </w:p>
    <w:p w:rsidR="0062152B" w:rsidRPr="00016073" w:rsidRDefault="0062152B" w:rsidP="00E81F46">
      <w:pPr>
        <w:pStyle w:val="ListParagraph"/>
        <w:numPr>
          <w:ilvl w:val="0"/>
          <w:numId w:val="5"/>
        </w:numPr>
        <w:rPr>
          <w:rFonts w:eastAsiaTheme="minorHAnsi"/>
          <w:i/>
          <w:szCs w:val="20"/>
        </w:rPr>
      </w:pPr>
      <w:r w:rsidRPr="00016073">
        <w:rPr>
          <w:rFonts w:eastAsiaTheme="minorHAnsi"/>
          <w:i/>
          <w:szCs w:val="20"/>
        </w:rPr>
        <w:lastRenderedPageBreak/>
        <w:t>2a1.7.</w:t>
      </w:r>
    </w:p>
    <w:p w:rsidR="0062152B" w:rsidRPr="00016073" w:rsidRDefault="0062152B" w:rsidP="00F938F7">
      <w:pPr>
        <w:pStyle w:val="Body2"/>
      </w:pPr>
      <w:r w:rsidRPr="00016073">
        <w:t>Codes: For measures based on a coded data set, identify the code set, the specific codes, and descriptors for the codes.</w:t>
      </w:r>
    </w:p>
    <w:p w:rsidR="0062152B" w:rsidRPr="00016073" w:rsidRDefault="0062152B" w:rsidP="00F938F7">
      <w:pPr>
        <w:pStyle w:val="Body2"/>
      </w:pPr>
      <w:r w:rsidRPr="00016073">
        <w:t>Details: Definitions and instructions as needed.</w:t>
      </w:r>
    </w:p>
    <w:p w:rsidR="00780505" w:rsidRPr="00B14BCD" w:rsidRDefault="00780505" w:rsidP="00F938F7">
      <w:pPr>
        <w:pStyle w:val="BodyText"/>
        <w:rPr>
          <w:rFonts w:asciiTheme="minorHAnsi" w:hAnsiTheme="minorHAnsi" w:cstheme="majorBidi"/>
          <w:bCs/>
          <w:iCs/>
          <w:color w:val="0000FF"/>
        </w:rPr>
      </w:pPr>
      <w:r w:rsidRPr="00B14BCD">
        <w:rPr>
          <w:rFonts w:asciiTheme="minorHAnsi" w:hAnsiTheme="minorHAnsi" w:cstheme="majorBidi"/>
          <w:bCs/>
          <w:iCs/>
          <w:color w:val="0000FF"/>
        </w:rPr>
        <w:t>Residents are counted if they are long-stay residents defined as residents whose length of stay is greater than 100 days</w:t>
      </w:r>
      <w:r w:rsidR="00026658" w:rsidRPr="00B14BCD">
        <w:rPr>
          <w:rFonts w:asciiTheme="minorHAnsi" w:hAnsiTheme="minorHAnsi" w:cstheme="majorBidi"/>
          <w:bCs/>
          <w:iCs/>
          <w:color w:val="0000FF"/>
        </w:rPr>
        <w:t xml:space="preserve">.  </w:t>
      </w:r>
      <w:r w:rsidRPr="00B14BCD">
        <w:rPr>
          <w:rFonts w:asciiTheme="minorHAnsi" w:hAnsiTheme="minorHAnsi" w:cstheme="majorBidi"/>
          <w:bCs/>
          <w:iCs/>
          <w:color w:val="0000FF"/>
        </w:rPr>
        <w:t>Residents who return to the nursing home following a hospital discharge will not have their day count reset to zero</w:t>
      </w:r>
      <w:r w:rsidR="00026658" w:rsidRPr="00B14BCD">
        <w:rPr>
          <w:rFonts w:asciiTheme="minorHAnsi" w:hAnsiTheme="minorHAnsi" w:cstheme="majorBidi"/>
          <w:bCs/>
          <w:iCs/>
          <w:color w:val="0000FF"/>
        </w:rPr>
        <w:t xml:space="preserve">.  </w:t>
      </w:r>
      <w:r w:rsidR="0024128C" w:rsidRPr="00B14BCD">
        <w:rPr>
          <w:rFonts w:asciiTheme="minorHAnsi" w:hAnsiTheme="minorHAnsi" w:cstheme="majorBidi"/>
          <w:bCs/>
          <w:iCs/>
          <w:color w:val="0000FF"/>
        </w:rPr>
        <w:t xml:space="preserve">The denominator includes all long-stay residents with a target OBRA, PPS or Discharge assessment (A0310A = </w:t>
      </w:r>
      <w:r w:rsidR="005D2A85" w:rsidRPr="00B14BCD">
        <w:rPr>
          <w:rFonts w:asciiTheme="minorHAnsi" w:hAnsiTheme="minorHAnsi" w:cstheme="majorBidi"/>
          <w:bCs/>
          <w:iCs/>
          <w:color w:val="0000FF"/>
        </w:rPr>
        <w:t xml:space="preserve">01, </w:t>
      </w:r>
      <w:r w:rsidR="0024128C" w:rsidRPr="00B14BCD">
        <w:rPr>
          <w:rFonts w:asciiTheme="minorHAnsi" w:hAnsiTheme="minorHAnsi" w:cstheme="majorBidi"/>
          <w:bCs/>
          <w:iCs/>
          <w:color w:val="0000FF"/>
        </w:rPr>
        <w:t xml:space="preserve">02, 03, 04, 05, 06; A0310B = </w:t>
      </w:r>
      <w:r w:rsidR="005D2A85" w:rsidRPr="00B14BCD">
        <w:rPr>
          <w:rFonts w:asciiTheme="minorHAnsi" w:hAnsiTheme="minorHAnsi" w:cstheme="majorBidi"/>
          <w:bCs/>
          <w:iCs/>
          <w:color w:val="0000FF"/>
        </w:rPr>
        <w:t xml:space="preserve">01, </w:t>
      </w:r>
      <w:r w:rsidR="0024128C" w:rsidRPr="00B14BCD">
        <w:rPr>
          <w:rFonts w:asciiTheme="minorHAnsi" w:hAnsiTheme="minorHAnsi" w:cstheme="majorBidi"/>
          <w:bCs/>
          <w:iCs/>
          <w:color w:val="0000FF"/>
        </w:rPr>
        <w:t>02, 03, 04, 05</w:t>
      </w:r>
      <w:r w:rsidR="005D2A85" w:rsidRPr="00B14BCD">
        <w:rPr>
          <w:rFonts w:asciiTheme="minorHAnsi" w:hAnsiTheme="minorHAnsi" w:cstheme="majorBidi"/>
          <w:bCs/>
          <w:iCs/>
          <w:color w:val="0000FF"/>
        </w:rPr>
        <w:t>, 06</w:t>
      </w:r>
      <w:r w:rsidR="0024128C" w:rsidRPr="00B14BCD">
        <w:rPr>
          <w:rFonts w:asciiTheme="minorHAnsi" w:hAnsiTheme="minorHAnsi" w:cstheme="majorBidi"/>
          <w:bCs/>
          <w:iCs/>
          <w:color w:val="0000FF"/>
        </w:rPr>
        <w:t>; A0310F = 10, 11) during the target period</w:t>
      </w:r>
      <w:r w:rsidRPr="00B14BCD">
        <w:rPr>
          <w:rFonts w:asciiTheme="minorHAnsi" w:hAnsiTheme="minorHAnsi" w:cstheme="majorBidi"/>
          <w:bCs/>
          <w:iCs/>
          <w:color w:val="0000FF"/>
        </w:rPr>
        <w:t>, except for those who meet the exclusion criteria.</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Denominator Exceptions and Exclusions</w:t>
      </w:r>
    </w:p>
    <w:p w:rsidR="0062152B" w:rsidRPr="00016073" w:rsidRDefault="0062152B" w:rsidP="0062152B">
      <w:pPr>
        <w:spacing w:before="0" w:after="0" w:line="276" w:lineRule="auto"/>
        <w:ind w:left="720"/>
        <w:rPr>
          <w:rFonts w:asciiTheme="minorHAnsi" w:eastAsiaTheme="minorHAnsi" w:hAnsiTheme="minorHAnsi" w:cstheme="minorHAnsi"/>
          <w:bCs/>
          <w:i/>
          <w:sz w:val="20"/>
          <w:szCs w:val="20"/>
        </w:rPr>
      </w:pPr>
      <w:r w:rsidRPr="00016073">
        <w:rPr>
          <w:rFonts w:asciiTheme="minorHAnsi" w:eastAsiaTheme="minorHAnsi" w:hAnsiTheme="minorHAnsi" w:cstheme="minorHAnsi"/>
          <w:bCs/>
          <w:i/>
          <w:sz w:val="20"/>
          <w:szCs w:val="20"/>
        </w:rPr>
        <w:t>2a1.8</w:t>
      </w:r>
      <w:r w:rsidR="00026658">
        <w:rPr>
          <w:rFonts w:asciiTheme="minorHAnsi" w:eastAsiaTheme="minorHAnsi" w:hAnsiTheme="minorHAnsi" w:cstheme="minorHAnsi"/>
          <w:bCs/>
          <w:i/>
          <w:sz w:val="20"/>
          <w:szCs w:val="20"/>
        </w:rPr>
        <w:t xml:space="preserve">.  </w:t>
      </w:r>
      <w:r w:rsidRPr="00016073">
        <w:rPr>
          <w:rFonts w:asciiTheme="minorHAnsi" w:eastAsiaTheme="minorHAnsi" w:hAnsiTheme="minorHAnsi" w:cstheme="minorHAnsi"/>
          <w:bCs/>
          <w:i/>
          <w:sz w:val="20"/>
          <w:szCs w:val="20"/>
        </w:rPr>
        <w:t>(</w:t>
      </w:r>
      <w:r w:rsidRPr="00016073">
        <w:rPr>
          <w:rFonts w:asciiTheme="minorHAnsi" w:eastAsiaTheme="minorHAnsi" w:hAnsiTheme="minorHAnsi" w:cstheme="minorHAnsi"/>
          <w:b/>
          <w:bCs/>
          <w:i/>
          <w:sz w:val="20"/>
          <w:szCs w:val="20"/>
        </w:rPr>
        <w:t xml:space="preserve">NQF </w:t>
      </w:r>
      <w:r w:rsidR="003013CC" w:rsidRPr="00016073">
        <w:rPr>
          <w:rFonts w:asciiTheme="minorHAnsi" w:eastAsiaTheme="minorHAnsi" w:hAnsiTheme="minorHAnsi" w:cstheme="minorHAnsi"/>
          <w:b/>
          <w:bCs/>
          <w:i/>
          <w:sz w:val="20"/>
          <w:szCs w:val="20"/>
        </w:rPr>
        <w:t>includes</w:t>
      </w:r>
      <w:r w:rsidRPr="00016073">
        <w:rPr>
          <w:rFonts w:asciiTheme="minorHAnsi" w:eastAsiaTheme="minorHAnsi" w:hAnsiTheme="minorHAnsi" w:cstheme="minorHAnsi"/>
          <w:b/>
          <w:bCs/>
          <w:i/>
          <w:sz w:val="20"/>
          <w:szCs w:val="20"/>
        </w:rPr>
        <w:t xml:space="preserve"> “exceptions</w:t>
      </w:r>
      <w:r w:rsidRPr="00016073">
        <w:rPr>
          <w:rFonts w:asciiTheme="minorHAnsi" w:eastAsiaTheme="minorHAnsi" w:hAnsiTheme="minorHAnsi" w:cstheme="minorHAnsi"/>
          <w:bCs/>
          <w:i/>
          <w:sz w:val="20"/>
          <w:szCs w:val="20"/>
        </w:rPr>
        <w:t>” in the “exclusion “field)</w:t>
      </w:r>
    </w:p>
    <w:p w:rsidR="0062152B" w:rsidRPr="00016073" w:rsidRDefault="0062152B" w:rsidP="00F938F7">
      <w:pPr>
        <w:pStyle w:val="Body2"/>
      </w:pPr>
      <w:r w:rsidRPr="00016073">
        <w:t>Identify patients who are in the target population, but who should not receive the process or are not eligible for the outcome for some other reason, particularly if their inclusion may bias results</w:t>
      </w:r>
      <w:r w:rsidR="00026658">
        <w:t xml:space="preserve">.  </w:t>
      </w:r>
      <w:r w:rsidRPr="00016073">
        <w:t>Exclusions should be evidence-based.</w:t>
      </w:r>
    </w:p>
    <w:p w:rsidR="00780505" w:rsidRPr="00016073" w:rsidRDefault="0062152B" w:rsidP="00780505">
      <w:pPr>
        <w:spacing w:before="0" w:after="0" w:line="276" w:lineRule="auto"/>
        <w:ind w:left="1440"/>
        <w:rPr>
          <w:rFonts w:asciiTheme="minorHAnsi" w:eastAsiaTheme="minorHAnsi" w:hAnsiTheme="minorHAnsi" w:cstheme="minorHAnsi"/>
          <w:b/>
          <w:bCs/>
          <w:sz w:val="20"/>
          <w:szCs w:val="20"/>
        </w:rPr>
      </w:pPr>
      <w:r w:rsidRPr="00016073">
        <w:rPr>
          <w:rFonts w:asciiTheme="minorHAnsi" w:eastAsiaTheme="minorHAnsi" w:hAnsiTheme="minorHAnsi" w:cstheme="minorHAnsi"/>
          <w:b/>
          <w:bCs/>
          <w:sz w:val="20"/>
          <w:szCs w:val="20"/>
        </w:rPr>
        <w:t>Patients in the [target population] who [have some additional characteristic, condition, procedure]</w:t>
      </w:r>
    </w:p>
    <w:p w:rsidR="00780505" w:rsidRPr="00B14BCD" w:rsidRDefault="00063244" w:rsidP="004173FA">
      <w:pPr>
        <w:pStyle w:val="Body"/>
        <w:rPr>
          <w:rFonts w:eastAsiaTheme="minorHAnsi"/>
        </w:rPr>
      </w:pPr>
      <w:r w:rsidRPr="00B14BCD">
        <w:rPr>
          <w:rFonts w:eastAsiaTheme="minorHAnsi"/>
        </w:rPr>
        <w:t>Residents whose target assessment indicates certain conditions</w:t>
      </w:r>
      <w:r w:rsidR="00780505" w:rsidRPr="00B14BCD">
        <w:rPr>
          <w:rFonts w:eastAsiaTheme="minorHAnsi"/>
        </w:rPr>
        <w:t xml:space="preserve"> are excluded</w:t>
      </w:r>
      <w:r w:rsidRPr="00B14BCD">
        <w:rPr>
          <w:rFonts w:eastAsiaTheme="minorHAnsi"/>
        </w:rPr>
        <w:t xml:space="preserve"> (see exclusions details)</w:t>
      </w:r>
      <w:r w:rsidR="00780505" w:rsidRPr="00B14BCD">
        <w:rPr>
          <w:rFonts w:eastAsiaTheme="minorHAnsi"/>
        </w:rPr>
        <w:t>.</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Denominator Exceptions and Exclusions Details</w:t>
      </w:r>
    </w:p>
    <w:p w:rsidR="0062152B" w:rsidRPr="00016073" w:rsidRDefault="003013CC" w:rsidP="00F938F7">
      <w:pPr>
        <w:pStyle w:val="Body2"/>
      </w:pPr>
      <w:r w:rsidRPr="00016073">
        <w:t>2a1.9</w:t>
      </w:r>
      <w:r w:rsidR="00026658">
        <w:t xml:space="preserve">.  </w:t>
      </w:r>
      <w:r w:rsidR="0062152B" w:rsidRPr="00016073">
        <w:t>(</w:t>
      </w:r>
      <w:r w:rsidR="0062152B" w:rsidRPr="00016073">
        <w:rPr>
          <w:b/>
        </w:rPr>
        <w:t xml:space="preserve">NQF </w:t>
      </w:r>
      <w:r w:rsidRPr="00016073">
        <w:rPr>
          <w:b/>
        </w:rPr>
        <w:t>includes</w:t>
      </w:r>
      <w:r w:rsidR="0062152B" w:rsidRPr="00016073">
        <w:rPr>
          <w:b/>
        </w:rPr>
        <w:t xml:space="preserve"> “exceptions</w:t>
      </w:r>
      <w:r w:rsidR="0062152B" w:rsidRPr="00016073">
        <w:t>” in the “exclusion “field)</w:t>
      </w:r>
    </w:p>
    <w:p w:rsidR="0062152B" w:rsidRPr="00016073" w:rsidRDefault="0062152B" w:rsidP="0062152B">
      <w:pPr>
        <w:spacing w:before="0" w:after="0" w:line="276" w:lineRule="auto"/>
        <w:ind w:left="720"/>
        <w:rPr>
          <w:rFonts w:asciiTheme="minorHAnsi" w:eastAsiaTheme="minorHAnsi" w:hAnsiTheme="minorHAnsi" w:cstheme="minorHAnsi"/>
          <w:bCs/>
          <w:i/>
          <w:sz w:val="20"/>
          <w:szCs w:val="20"/>
        </w:rPr>
      </w:pPr>
      <w:r w:rsidRPr="00016073">
        <w:rPr>
          <w:rFonts w:asciiTheme="minorHAnsi" w:eastAsiaTheme="minorHAnsi" w:hAnsiTheme="minorHAnsi" w:cstheme="minorHAnsi"/>
          <w:bCs/>
          <w:i/>
          <w:sz w:val="20"/>
          <w:szCs w:val="20"/>
        </w:rPr>
        <w:t>Codes:</w:t>
      </w:r>
      <w:r w:rsidRPr="00016073">
        <w:rPr>
          <w:rFonts w:asciiTheme="minorHAnsi" w:hAnsiTheme="minorHAnsi" w:cstheme="minorHAnsi"/>
          <w:sz w:val="20"/>
          <w:szCs w:val="20"/>
        </w:rPr>
        <w:t xml:space="preserve"> </w:t>
      </w:r>
      <w:r w:rsidRPr="00016073">
        <w:rPr>
          <w:rFonts w:asciiTheme="minorHAnsi" w:eastAsiaTheme="minorHAnsi" w:hAnsiTheme="minorHAnsi" w:cstheme="minorHAnsi"/>
          <w:bCs/>
          <w:i/>
          <w:sz w:val="20"/>
          <w:szCs w:val="20"/>
        </w:rPr>
        <w:t>For measures based on a coded data set, identify the code set, the specific codes, and descriptors for the codes.</w:t>
      </w:r>
    </w:p>
    <w:p w:rsidR="0062152B" w:rsidRPr="00016073" w:rsidRDefault="0062152B" w:rsidP="00F938F7">
      <w:pPr>
        <w:pStyle w:val="Body2"/>
      </w:pPr>
      <w:r w:rsidRPr="00016073">
        <w:t>Details: Definitions and instructions as needed.</w:t>
      </w:r>
    </w:p>
    <w:p w:rsidR="00780505" w:rsidRPr="00016073" w:rsidRDefault="00780505" w:rsidP="004173FA">
      <w:pPr>
        <w:pStyle w:val="Body"/>
      </w:pPr>
      <w:r w:rsidRPr="00016073">
        <w:t xml:space="preserve">Residents are excluded from the denominator if they meet one of the following criteria: </w:t>
      </w:r>
    </w:p>
    <w:p w:rsidR="00780505" w:rsidRPr="00016073" w:rsidRDefault="00780505" w:rsidP="004E2B0D">
      <w:pPr>
        <w:pStyle w:val="List1"/>
      </w:pPr>
      <w:r w:rsidRPr="00016073">
        <w:t>1.</w:t>
      </w:r>
      <w:r w:rsidRPr="00016073">
        <w:tab/>
        <w:t xml:space="preserve">The resident did not qualify for the numerator and </w:t>
      </w:r>
      <w:r w:rsidR="001B4E91" w:rsidRPr="00016073">
        <w:t xml:space="preserve">there are missing data </w:t>
      </w:r>
      <w:r w:rsidR="0037335E" w:rsidRPr="00016073">
        <w:t>for antipsychotic medications</w:t>
      </w:r>
      <w:r w:rsidRPr="00016073">
        <w:t xml:space="preserve">: </w:t>
      </w:r>
    </w:p>
    <w:p w:rsidR="00AB4C11" w:rsidRPr="00016073" w:rsidRDefault="00780505" w:rsidP="00DD04AE">
      <w:pPr>
        <w:tabs>
          <w:tab w:val="left" w:pos="1170"/>
        </w:tabs>
        <w:spacing w:before="0" w:after="0" w:line="276" w:lineRule="auto"/>
        <w:ind w:left="720"/>
        <w:rPr>
          <w:rFonts w:asciiTheme="minorHAnsi" w:eastAsiaTheme="minorHAnsi" w:hAnsiTheme="minorHAnsi" w:cstheme="minorHAnsi"/>
          <w:bCs/>
          <w:iCs/>
          <w:color w:val="0000FF"/>
          <w:sz w:val="20"/>
          <w:szCs w:val="20"/>
        </w:rPr>
      </w:pPr>
      <w:r w:rsidRPr="00016073">
        <w:rPr>
          <w:rFonts w:asciiTheme="minorHAnsi" w:eastAsiaTheme="minorHAnsi" w:hAnsiTheme="minorHAnsi" w:cstheme="minorHAnsi"/>
          <w:bCs/>
          <w:iCs/>
          <w:color w:val="0000FF"/>
          <w:sz w:val="20"/>
          <w:szCs w:val="20"/>
        </w:rPr>
        <w:t>1.1.</w:t>
      </w:r>
      <w:r w:rsidRPr="00016073">
        <w:rPr>
          <w:rFonts w:asciiTheme="minorHAnsi" w:eastAsiaTheme="minorHAnsi" w:hAnsiTheme="minorHAnsi" w:cstheme="minorHAnsi"/>
          <w:bCs/>
          <w:iCs/>
          <w:color w:val="0000FF"/>
          <w:sz w:val="20"/>
          <w:szCs w:val="20"/>
        </w:rPr>
        <w:tab/>
        <w:t>For assessments with target dates on or before 03/31/2012: N0400A = [-].</w:t>
      </w:r>
    </w:p>
    <w:p w:rsidR="00AB4C11" w:rsidRPr="00016073" w:rsidRDefault="00780505" w:rsidP="00DD04AE">
      <w:pPr>
        <w:tabs>
          <w:tab w:val="left" w:pos="1170"/>
        </w:tabs>
        <w:spacing w:before="0" w:after="0" w:line="276" w:lineRule="auto"/>
        <w:ind w:left="720"/>
        <w:rPr>
          <w:rFonts w:asciiTheme="minorHAnsi" w:eastAsiaTheme="minorHAnsi" w:hAnsiTheme="minorHAnsi" w:cstheme="minorHAnsi"/>
          <w:bCs/>
          <w:iCs/>
          <w:color w:val="0000FF"/>
          <w:sz w:val="20"/>
          <w:szCs w:val="20"/>
        </w:rPr>
      </w:pPr>
      <w:r w:rsidRPr="00016073">
        <w:rPr>
          <w:rFonts w:asciiTheme="minorHAnsi" w:eastAsiaTheme="minorHAnsi" w:hAnsiTheme="minorHAnsi" w:cstheme="minorHAnsi"/>
          <w:bCs/>
          <w:iCs/>
          <w:color w:val="0000FF"/>
          <w:sz w:val="20"/>
          <w:szCs w:val="20"/>
        </w:rPr>
        <w:t>1.2.</w:t>
      </w:r>
      <w:r w:rsidRPr="00016073">
        <w:rPr>
          <w:rFonts w:asciiTheme="minorHAnsi" w:eastAsiaTheme="minorHAnsi" w:hAnsiTheme="minorHAnsi" w:cstheme="minorHAnsi"/>
          <w:bCs/>
          <w:iCs/>
          <w:color w:val="0000FF"/>
          <w:sz w:val="20"/>
          <w:szCs w:val="20"/>
        </w:rPr>
        <w:tab/>
        <w:t>For assessments with target dates on or after 04/01/2012: N0410A=[-].</w:t>
      </w:r>
    </w:p>
    <w:p w:rsidR="00780505" w:rsidRPr="00016073" w:rsidRDefault="00780505" w:rsidP="004E2B0D">
      <w:pPr>
        <w:pStyle w:val="List1"/>
        <w:rPr>
          <w:bCs w:val="0"/>
          <w:iCs w:val="0"/>
        </w:rPr>
      </w:pPr>
      <w:r w:rsidRPr="00016073">
        <w:rPr>
          <w:bCs w:val="0"/>
          <w:iCs w:val="0"/>
        </w:rPr>
        <w:t>2.</w:t>
      </w:r>
      <w:r w:rsidRPr="00016073">
        <w:rPr>
          <w:bCs w:val="0"/>
          <w:iCs w:val="0"/>
        </w:rPr>
        <w:tab/>
        <w:t>Any of the following related conditions are present on the target assessment (unless otherwise indicated):</w:t>
      </w:r>
    </w:p>
    <w:p w:rsidR="00AB4C11" w:rsidRPr="00016073" w:rsidRDefault="00780505" w:rsidP="00DD04AE">
      <w:pPr>
        <w:tabs>
          <w:tab w:val="left" w:pos="1170"/>
        </w:tabs>
        <w:spacing w:before="0" w:after="0" w:line="276" w:lineRule="auto"/>
        <w:ind w:left="720"/>
        <w:rPr>
          <w:rFonts w:asciiTheme="minorHAnsi" w:eastAsiaTheme="minorHAnsi" w:hAnsiTheme="minorHAnsi" w:cstheme="minorHAnsi"/>
          <w:bCs/>
          <w:iCs/>
          <w:color w:val="0000FF"/>
          <w:sz w:val="20"/>
          <w:szCs w:val="20"/>
        </w:rPr>
      </w:pPr>
      <w:r w:rsidRPr="00016073">
        <w:rPr>
          <w:rFonts w:asciiTheme="minorHAnsi" w:eastAsiaTheme="minorHAnsi" w:hAnsiTheme="minorHAnsi" w:cstheme="minorHAnsi"/>
          <w:bCs/>
          <w:iCs/>
          <w:color w:val="0000FF"/>
          <w:sz w:val="20"/>
          <w:szCs w:val="20"/>
        </w:rPr>
        <w:t>2.1.</w:t>
      </w:r>
      <w:r w:rsidRPr="00016073">
        <w:rPr>
          <w:rFonts w:asciiTheme="minorHAnsi" w:eastAsiaTheme="minorHAnsi" w:hAnsiTheme="minorHAnsi" w:cstheme="minorHAnsi"/>
          <w:bCs/>
          <w:iCs/>
          <w:color w:val="0000FF"/>
          <w:sz w:val="20"/>
          <w:szCs w:val="20"/>
        </w:rPr>
        <w:tab/>
        <w:t>Schizophrenia (I6000 = [1]).</w:t>
      </w:r>
    </w:p>
    <w:p w:rsidR="00AB4C11" w:rsidRPr="00016073" w:rsidRDefault="00780505" w:rsidP="00DD04AE">
      <w:pPr>
        <w:tabs>
          <w:tab w:val="left" w:pos="1170"/>
        </w:tabs>
        <w:spacing w:before="0" w:after="0" w:line="276" w:lineRule="auto"/>
        <w:ind w:left="720"/>
        <w:rPr>
          <w:rFonts w:asciiTheme="minorHAnsi" w:eastAsiaTheme="minorHAnsi" w:hAnsiTheme="minorHAnsi" w:cstheme="minorHAnsi"/>
          <w:bCs/>
          <w:iCs/>
          <w:color w:val="0000FF"/>
          <w:sz w:val="20"/>
          <w:szCs w:val="20"/>
        </w:rPr>
      </w:pPr>
      <w:r w:rsidRPr="00016073">
        <w:rPr>
          <w:rFonts w:asciiTheme="minorHAnsi" w:eastAsiaTheme="minorHAnsi" w:hAnsiTheme="minorHAnsi" w:cstheme="minorHAnsi"/>
          <w:bCs/>
          <w:iCs/>
          <w:color w:val="0000FF"/>
          <w:sz w:val="20"/>
          <w:szCs w:val="20"/>
        </w:rPr>
        <w:t>2.2.</w:t>
      </w:r>
      <w:r w:rsidRPr="00016073">
        <w:rPr>
          <w:rFonts w:asciiTheme="minorHAnsi" w:eastAsiaTheme="minorHAnsi" w:hAnsiTheme="minorHAnsi" w:cstheme="minorHAnsi"/>
          <w:bCs/>
          <w:iCs/>
          <w:color w:val="0000FF"/>
          <w:sz w:val="20"/>
          <w:szCs w:val="20"/>
        </w:rPr>
        <w:tab/>
        <w:t>Tourette’s Syndrome (I5350 = [1]).</w:t>
      </w:r>
    </w:p>
    <w:p w:rsidR="00AB4C11" w:rsidRPr="00016073" w:rsidRDefault="00780505" w:rsidP="00DD04AE">
      <w:pPr>
        <w:tabs>
          <w:tab w:val="left" w:pos="1170"/>
        </w:tabs>
        <w:spacing w:before="0" w:after="0" w:line="276" w:lineRule="auto"/>
        <w:ind w:left="1170" w:hanging="450"/>
        <w:rPr>
          <w:rFonts w:asciiTheme="minorHAnsi" w:eastAsiaTheme="minorHAnsi" w:hAnsiTheme="minorHAnsi" w:cstheme="minorHAnsi"/>
          <w:bCs/>
          <w:iCs/>
          <w:color w:val="0000FF"/>
          <w:sz w:val="20"/>
          <w:szCs w:val="20"/>
        </w:rPr>
      </w:pPr>
      <w:r w:rsidRPr="00016073">
        <w:rPr>
          <w:rFonts w:asciiTheme="minorHAnsi" w:eastAsiaTheme="minorHAnsi" w:hAnsiTheme="minorHAnsi" w:cstheme="minorHAnsi"/>
          <w:bCs/>
          <w:iCs/>
          <w:color w:val="0000FF"/>
          <w:sz w:val="20"/>
          <w:szCs w:val="20"/>
        </w:rPr>
        <w:t>2.3.</w:t>
      </w:r>
      <w:r w:rsidRPr="00016073">
        <w:rPr>
          <w:rFonts w:asciiTheme="minorHAnsi" w:eastAsiaTheme="minorHAnsi" w:hAnsiTheme="minorHAnsi" w:cstheme="minorHAnsi"/>
          <w:bCs/>
          <w:iCs/>
          <w:color w:val="0000FF"/>
          <w:sz w:val="20"/>
          <w:szCs w:val="20"/>
        </w:rPr>
        <w:tab/>
        <w:t>Tourette’s Syndrome (I5350 = [1]) on the prior assessment if this item is not active on the target assessment and if a prior assessment is available.</w:t>
      </w:r>
    </w:p>
    <w:p w:rsidR="00AB4C11" w:rsidRPr="00016073" w:rsidRDefault="00780505" w:rsidP="00DD04AE">
      <w:pPr>
        <w:tabs>
          <w:tab w:val="left" w:pos="1170"/>
        </w:tabs>
        <w:spacing w:before="0" w:after="0" w:line="276" w:lineRule="auto"/>
        <w:ind w:left="720"/>
        <w:rPr>
          <w:rFonts w:asciiTheme="minorHAnsi" w:eastAsiaTheme="minorHAnsi" w:hAnsiTheme="minorHAnsi" w:cstheme="minorHAnsi"/>
          <w:bCs/>
          <w:iCs/>
          <w:color w:val="0000FF"/>
          <w:sz w:val="20"/>
          <w:szCs w:val="20"/>
        </w:rPr>
      </w:pPr>
      <w:r w:rsidRPr="00016073">
        <w:rPr>
          <w:rFonts w:asciiTheme="minorHAnsi" w:eastAsiaTheme="minorHAnsi" w:hAnsiTheme="minorHAnsi" w:cstheme="minorHAnsi"/>
          <w:bCs/>
          <w:iCs/>
          <w:color w:val="0000FF"/>
          <w:sz w:val="20"/>
          <w:szCs w:val="20"/>
        </w:rPr>
        <w:t>2.4.</w:t>
      </w:r>
      <w:r w:rsidRPr="00016073">
        <w:rPr>
          <w:rFonts w:asciiTheme="minorHAnsi" w:eastAsiaTheme="minorHAnsi" w:hAnsiTheme="minorHAnsi" w:cstheme="minorHAnsi"/>
          <w:bCs/>
          <w:iCs/>
          <w:color w:val="0000FF"/>
          <w:sz w:val="20"/>
          <w:szCs w:val="20"/>
        </w:rPr>
        <w:tab/>
        <w:t>Huntington’s Disease (I5250 = [1]).</w:t>
      </w:r>
    </w:p>
    <w:p w:rsidR="0062152B" w:rsidRPr="00016073" w:rsidRDefault="0062152B" w:rsidP="005922A1">
      <w:pPr>
        <w:pStyle w:val="Heading2"/>
      </w:pPr>
      <w:r w:rsidRPr="00016073">
        <w:t>Numerator</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Numerator Statement</w:t>
      </w:r>
    </w:p>
    <w:p w:rsidR="0062152B" w:rsidRPr="00016073" w:rsidRDefault="0062152B" w:rsidP="00F938F7">
      <w:pPr>
        <w:pStyle w:val="Body2"/>
      </w:pPr>
      <w:r w:rsidRPr="00016073">
        <w:t>2a1.1</w:t>
      </w:r>
      <w:r w:rsidR="00026658">
        <w:t xml:space="preserve">.  </w:t>
      </w:r>
      <w:r w:rsidRPr="00016073">
        <w:t>Describe the measure focus—cases from the target population with the target process, condition, event, or outcome based on the evidence.</w:t>
      </w:r>
    </w:p>
    <w:p w:rsidR="0062152B" w:rsidRPr="00F938F7" w:rsidRDefault="0062152B" w:rsidP="00F938F7">
      <w:pPr>
        <w:pStyle w:val="TextCenter"/>
      </w:pPr>
      <w:r w:rsidRPr="00016073">
        <w:t>Patients in the target population who received/had [measure focus] {during</w:t>
      </w:r>
      <w:r w:rsidR="00F938F7">
        <w:t xml:space="preserve"> </w:t>
      </w:r>
      <w:r w:rsidR="00F938F7">
        <w:br/>
      </w:r>
      <w:r w:rsidRPr="00F938F7">
        <w:t>[time frame] if different than for target population}</w:t>
      </w:r>
    </w:p>
    <w:p w:rsidR="00F03BA0" w:rsidRPr="00016073" w:rsidRDefault="00F03BA0" w:rsidP="004173FA">
      <w:pPr>
        <w:pStyle w:val="Body"/>
      </w:pPr>
      <w:r w:rsidRPr="00016073">
        <w:lastRenderedPageBreak/>
        <w:t xml:space="preserve">Long-stay residents receiving </w:t>
      </w:r>
      <w:r w:rsidR="001B4E91" w:rsidRPr="00016073">
        <w:t>antipsychotic medications</w:t>
      </w:r>
      <w:r w:rsidR="00026658">
        <w:t xml:space="preserve">.  </w:t>
      </w:r>
    </w:p>
    <w:p w:rsidR="0062152B" w:rsidRPr="00016073" w:rsidRDefault="0062152B" w:rsidP="00E81F46">
      <w:pPr>
        <w:pStyle w:val="ListParagraph"/>
        <w:numPr>
          <w:ilvl w:val="0"/>
          <w:numId w:val="5"/>
        </w:numPr>
        <w:rPr>
          <w:rFonts w:eastAsiaTheme="minorHAnsi"/>
          <w:szCs w:val="20"/>
        </w:rPr>
      </w:pPr>
      <w:r w:rsidRPr="00016073">
        <w:rPr>
          <w:rFonts w:eastAsiaTheme="minorHAnsi"/>
          <w:szCs w:val="20"/>
        </w:rPr>
        <w:t>Numerator Details</w:t>
      </w:r>
    </w:p>
    <w:p w:rsidR="0062152B" w:rsidRPr="00016073" w:rsidRDefault="0062152B" w:rsidP="00F938F7">
      <w:pPr>
        <w:pStyle w:val="Body2"/>
      </w:pPr>
      <w:r w:rsidRPr="00016073">
        <w:t>2a1.3</w:t>
      </w:r>
      <w:r w:rsidR="00026658">
        <w:t xml:space="preserve">.  </w:t>
      </w:r>
    </w:p>
    <w:p w:rsidR="0062152B" w:rsidRPr="00016073" w:rsidRDefault="0062152B" w:rsidP="00F938F7">
      <w:pPr>
        <w:pStyle w:val="Body2"/>
      </w:pPr>
      <w:r w:rsidRPr="00016073">
        <w:t>Codes: For measures based on a coded data set, identify the code set, the specific codes, and descriptors for the codes.</w:t>
      </w:r>
    </w:p>
    <w:p w:rsidR="0062152B" w:rsidRPr="00016073" w:rsidRDefault="0062152B" w:rsidP="00F938F7">
      <w:pPr>
        <w:pStyle w:val="Body2"/>
      </w:pPr>
      <w:r w:rsidRPr="00016073">
        <w:t>Details: Definitions and instructions as needed.</w:t>
      </w:r>
    </w:p>
    <w:p w:rsidR="001801DC" w:rsidRPr="00016073" w:rsidRDefault="00C2250E" w:rsidP="004173FA">
      <w:pPr>
        <w:pStyle w:val="Body"/>
      </w:pPr>
      <w:r w:rsidRPr="00016073">
        <w:t>Long-</w:t>
      </w:r>
      <w:r w:rsidR="001801DC" w:rsidRPr="00016073">
        <w:t>stay residents with a selected target assessment where the following condition is true:  antipsychotic medications received</w:t>
      </w:r>
      <w:r w:rsidR="00026658">
        <w:t xml:space="preserve">.  </w:t>
      </w:r>
      <w:r w:rsidR="001801DC" w:rsidRPr="00016073">
        <w:t>This condition is defined as follows:</w:t>
      </w:r>
    </w:p>
    <w:p w:rsidR="001801DC" w:rsidRPr="00016073" w:rsidRDefault="001801DC" w:rsidP="00E81F46">
      <w:pPr>
        <w:pStyle w:val="ListParagraph"/>
        <w:numPr>
          <w:ilvl w:val="0"/>
          <w:numId w:val="13"/>
        </w:numPr>
        <w:spacing w:before="0" w:after="0"/>
        <w:rPr>
          <w:rFonts w:asciiTheme="minorHAnsi" w:hAnsiTheme="minorHAnsi" w:cstheme="majorBidi"/>
          <w:bCs/>
          <w:iCs/>
          <w:color w:val="0000FF"/>
          <w:szCs w:val="20"/>
        </w:rPr>
      </w:pPr>
      <w:r w:rsidRPr="00016073">
        <w:rPr>
          <w:rFonts w:asciiTheme="minorHAnsi" w:hAnsiTheme="minorHAnsi" w:cstheme="majorBidi"/>
          <w:bCs/>
          <w:iCs/>
          <w:color w:val="0000FF"/>
          <w:szCs w:val="20"/>
        </w:rPr>
        <w:t>For assessments with target dates on or before 03/31/2012: N0400A = [1].</w:t>
      </w:r>
    </w:p>
    <w:p w:rsidR="001801DC" w:rsidRPr="00016073" w:rsidRDefault="001801DC" w:rsidP="00E81F46">
      <w:pPr>
        <w:pStyle w:val="ListParagraph"/>
        <w:numPr>
          <w:ilvl w:val="0"/>
          <w:numId w:val="13"/>
        </w:numPr>
        <w:spacing w:before="0" w:after="0"/>
        <w:rPr>
          <w:rFonts w:asciiTheme="minorHAnsi" w:hAnsiTheme="minorHAnsi" w:cstheme="majorBidi"/>
          <w:bCs/>
          <w:iCs/>
          <w:color w:val="0000FF"/>
          <w:szCs w:val="20"/>
        </w:rPr>
      </w:pPr>
      <w:r w:rsidRPr="00016073">
        <w:rPr>
          <w:rFonts w:asciiTheme="minorHAnsi" w:hAnsiTheme="minorHAnsi" w:cstheme="majorBidi"/>
          <w:bCs/>
          <w:iCs/>
          <w:color w:val="0000FF"/>
          <w:szCs w:val="20"/>
        </w:rPr>
        <w:t>For assessments with target dates on or after 04/01/2012: N0410A = [1, 2, 3, 4, 5, 6, 7].</w:t>
      </w:r>
    </w:p>
    <w:p w:rsidR="0062152B" w:rsidRPr="00016073" w:rsidRDefault="0062152B" w:rsidP="005922A1">
      <w:pPr>
        <w:pStyle w:val="Heading2"/>
      </w:pPr>
      <w:r w:rsidRPr="00016073">
        <w:t>Stratification or Risk Adjustment</w:t>
      </w:r>
    </w:p>
    <w:p w:rsidR="0062152B" w:rsidRPr="00016073" w:rsidRDefault="0062152B" w:rsidP="00F938F7">
      <w:pPr>
        <w:pStyle w:val="Body2"/>
      </w:pPr>
      <w:r w:rsidRPr="00016073">
        <w:t>2a1.10</w:t>
      </w:r>
      <w:r w:rsidR="00026658">
        <w:t xml:space="preserve">.  </w:t>
      </w:r>
      <w:r w:rsidRPr="00016073">
        <w:t>Stratification variables: Provide instructions for calculating the measure by category (</w:t>
      </w:r>
      <w:r w:rsidR="003B5EB5" w:rsidRPr="00016073">
        <w:t>for example</w:t>
      </w:r>
      <w:r w:rsidRPr="00016073">
        <w:t>, age) including the stratification variables, all codes, logic, and definitions.</w:t>
      </w:r>
    </w:p>
    <w:p w:rsidR="0062152B" w:rsidRPr="00016073" w:rsidRDefault="0062152B" w:rsidP="00F938F7">
      <w:pPr>
        <w:pStyle w:val="Body2"/>
      </w:pPr>
      <w:r w:rsidRPr="00016073">
        <w:t>or</w:t>
      </w:r>
    </w:p>
    <w:p w:rsidR="0062152B" w:rsidRPr="00016073" w:rsidRDefault="0062152B" w:rsidP="00F938F7">
      <w:pPr>
        <w:pStyle w:val="Body2"/>
      </w:pPr>
      <w:r w:rsidRPr="00016073">
        <w:t>2a1.11, 2a1.13, 2a1.14 Risk Adjustment:</w:t>
      </w:r>
    </w:p>
    <w:p w:rsidR="0062152B" w:rsidRPr="00016073" w:rsidRDefault="0062152B" w:rsidP="00E81F46">
      <w:pPr>
        <w:pStyle w:val="ListParagraph"/>
        <w:numPr>
          <w:ilvl w:val="0"/>
          <w:numId w:val="5"/>
        </w:numPr>
        <w:rPr>
          <w:szCs w:val="20"/>
        </w:rPr>
      </w:pPr>
      <w:r w:rsidRPr="00016073">
        <w:rPr>
          <w:szCs w:val="20"/>
        </w:rPr>
        <w:t>Identify the method and variables/risk factors (not the details) in this field.</w:t>
      </w:r>
    </w:p>
    <w:p w:rsidR="0062152B" w:rsidRPr="00016073" w:rsidRDefault="0062152B" w:rsidP="00E81F46">
      <w:pPr>
        <w:pStyle w:val="ListParagraph"/>
        <w:numPr>
          <w:ilvl w:val="0"/>
          <w:numId w:val="5"/>
        </w:numPr>
        <w:rPr>
          <w:rFonts w:asciiTheme="minorHAnsi" w:hAnsiTheme="minorHAnsi" w:cstheme="minorHAnsi"/>
          <w:bCs/>
          <w:i/>
          <w:szCs w:val="20"/>
        </w:rPr>
      </w:pPr>
      <w:r w:rsidRPr="00016073">
        <w:rPr>
          <w:rFonts w:asciiTheme="minorHAnsi" w:hAnsiTheme="minorHAnsi" w:cstheme="minorHAnsi"/>
          <w:bCs/>
          <w:i/>
          <w:szCs w:val="20"/>
        </w:rPr>
        <w:t>Provide risk model coefficients or equation to estimate each patient’s probability for the outcome including coefficients for the variables/risk factors</w:t>
      </w:r>
      <w:r w:rsidR="00026658">
        <w:rPr>
          <w:rFonts w:asciiTheme="minorHAnsi" w:hAnsiTheme="minorHAnsi" w:cstheme="minorHAnsi"/>
          <w:bCs/>
          <w:i/>
          <w:szCs w:val="20"/>
        </w:rPr>
        <w:t xml:space="preserve">.  </w:t>
      </w:r>
      <w:r w:rsidRPr="00016073">
        <w:rPr>
          <w:rFonts w:asciiTheme="minorHAnsi" w:hAnsiTheme="minorHAnsi" w:cstheme="minorHAnsi"/>
          <w:bCs/>
          <w:i/>
          <w:szCs w:val="20"/>
        </w:rPr>
        <w:t>Provide the codes or definitions for each variable/risk factor</w:t>
      </w:r>
      <w:r w:rsidR="00026658">
        <w:rPr>
          <w:rFonts w:asciiTheme="minorHAnsi" w:hAnsiTheme="minorHAnsi" w:cstheme="minorHAnsi"/>
          <w:bCs/>
          <w:i/>
          <w:szCs w:val="20"/>
        </w:rPr>
        <w:t xml:space="preserve">.  </w:t>
      </w:r>
      <w:r w:rsidRPr="00016073">
        <w:rPr>
          <w:rFonts w:asciiTheme="minorHAnsi" w:hAnsiTheme="minorHAnsi" w:cstheme="minorHAnsi"/>
          <w:bCs/>
          <w:i/>
          <w:szCs w:val="20"/>
        </w:rPr>
        <w:t>Provide programming language (</w:t>
      </w:r>
      <w:r w:rsidR="003B5EB5" w:rsidRPr="00016073">
        <w:rPr>
          <w:rFonts w:asciiTheme="minorHAnsi" w:hAnsiTheme="minorHAnsi" w:cstheme="minorHAnsi"/>
          <w:bCs/>
          <w:i/>
          <w:szCs w:val="20"/>
        </w:rPr>
        <w:t>for example</w:t>
      </w:r>
      <w:r w:rsidRPr="00016073">
        <w:rPr>
          <w:rFonts w:asciiTheme="minorHAnsi" w:hAnsiTheme="minorHAnsi" w:cstheme="minorHAnsi"/>
          <w:bCs/>
          <w:i/>
          <w:szCs w:val="20"/>
        </w:rPr>
        <w:t>, SAS code)</w:t>
      </w:r>
      <w:r w:rsidR="00026658">
        <w:rPr>
          <w:rFonts w:asciiTheme="minorHAnsi" w:hAnsiTheme="minorHAnsi" w:cstheme="minorHAnsi"/>
          <w:bCs/>
          <w:i/>
          <w:szCs w:val="20"/>
        </w:rPr>
        <w:t xml:space="preserve">.  </w:t>
      </w:r>
      <w:r w:rsidRPr="00016073">
        <w:rPr>
          <w:rFonts w:asciiTheme="minorHAnsi" w:hAnsiTheme="minorHAnsi" w:cstheme="minorHAnsi"/>
          <w:bCs/>
          <w:i/>
          <w:szCs w:val="20"/>
        </w:rPr>
        <w:t>It is usually necessary to provide an attachment or URL for these details.</w:t>
      </w:r>
    </w:p>
    <w:p w:rsidR="001801DC" w:rsidRPr="00016073" w:rsidRDefault="001801DC" w:rsidP="00A64C6A">
      <w:pPr>
        <w:pStyle w:val="Body"/>
      </w:pPr>
      <w:r w:rsidRPr="00016073">
        <w:t>Not applicable</w:t>
      </w:r>
    </w:p>
    <w:p w:rsidR="0062152B" w:rsidRPr="00016073" w:rsidRDefault="0062152B" w:rsidP="005922A1">
      <w:pPr>
        <w:pStyle w:val="Heading2"/>
      </w:pPr>
      <w:r w:rsidRPr="00016073">
        <w:t>Sampling</w:t>
      </w:r>
    </w:p>
    <w:p w:rsidR="0062152B" w:rsidRPr="00016073" w:rsidRDefault="0062152B" w:rsidP="00F938F7">
      <w:pPr>
        <w:pStyle w:val="Body2"/>
      </w:pPr>
      <w:r w:rsidRPr="00016073">
        <w:t>2a1.24</w:t>
      </w:r>
      <w:r w:rsidR="00026658">
        <w:t xml:space="preserve">.  </w:t>
      </w:r>
      <w:r w:rsidRPr="00016073">
        <w:t>If measure is based on a sample (or survey), provide instructions for obtaining the sample and conducting the survey, and guidance on minimum sample size (response rate).</w:t>
      </w:r>
    </w:p>
    <w:p w:rsidR="00E40343" w:rsidRPr="00016073" w:rsidRDefault="00E40343" w:rsidP="00A64C6A">
      <w:pPr>
        <w:pStyle w:val="Body"/>
        <w:rPr>
          <w:rFonts w:eastAsiaTheme="minorHAnsi" w:cstheme="minorHAnsi"/>
          <w:i/>
        </w:rPr>
      </w:pPr>
      <w:r w:rsidRPr="00016073">
        <w:t>This is not applicable.</w:t>
      </w:r>
    </w:p>
    <w:p w:rsidR="0062152B" w:rsidRPr="00016073" w:rsidRDefault="0062152B" w:rsidP="005922A1">
      <w:pPr>
        <w:pStyle w:val="Heading2"/>
      </w:pPr>
      <w:r w:rsidRPr="00016073">
        <w:t>Calculation Algorithm</w:t>
      </w:r>
    </w:p>
    <w:p w:rsidR="0062152B" w:rsidRPr="00016073" w:rsidRDefault="0062152B" w:rsidP="00F938F7">
      <w:pPr>
        <w:pStyle w:val="Body2"/>
      </w:pPr>
      <w:r w:rsidRPr="00016073">
        <w:t>Calculation Algorithm/Measure logic: 2a1.20, 2a1.21</w:t>
      </w:r>
      <w:r w:rsidR="00026658">
        <w:t xml:space="preserve">.  </w:t>
      </w:r>
      <w:r w:rsidRPr="00016073">
        <w:t>Describe the calculation of the measure as a flow chart or series of steps.</w:t>
      </w:r>
    </w:p>
    <w:p w:rsidR="003F7639" w:rsidRPr="00A64C6A" w:rsidRDefault="003F7639" w:rsidP="004E2B0D">
      <w:pPr>
        <w:pStyle w:val="Body"/>
        <w:rPr>
          <w:i/>
          <w:iCs w:val="0"/>
        </w:rPr>
      </w:pPr>
      <w:r w:rsidRPr="00A64C6A">
        <w:rPr>
          <w:i/>
          <w:iCs w:val="0"/>
        </w:rPr>
        <w:t>Step one:</w:t>
      </w:r>
    </w:p>
    <w:p w:rsidR="003F7639" w:rsidRPr="00016073" w:rsidRDefault="003F7639" w:rsidP="004E2B0D">
      <w:pPr>
        <w:pStyle w:val="Body"/>
      </w:pPr>
      <w:r w:rsidRPr="00016073">
        <w:t xml:space="preserve">Count </w:t>
      </w:r>
      <w:r w:rsidR="009F0A77" w:rsidRPr="00016073">
        <w:t>the number of long-stay residents meeting the numerator criteria</w:t>
      </w:r>
      <w:r w:rsidRPr="00016073">
        <w:t xml:space="preserve"> for each </w:t>
      </w:r>
      <w:r w:rsidR="00CF1282" w:rsidRPr="00016073">
        <w:t xml:space="preserve">nursing </w:t>
      </w:r>
      <w:r w:rsidR="002B1628" w:rsidRPr="00016073">
        <w:t>home</w:t>
      </w:r>
      <w:r w:rsidR="00CF1282" w:rsidRPr="00016073">
        <w:t>.</w:t>
      </w:r>
    </w:p>
    <w:p w:rsidR="003F7639" w:rsidRPr="00A64C6A" w:rsidRDefault="003F7639" w:rsidP="004E2B0D">
      <w:pPr>
        <w:pStyle w:val="Body"/>
        <w:rPr>
          <w:i/>
          <w:iCs w:val="0"/>
        </w:rPr>
      </w:pPr>
      <w:r w:rsidRPr="00A64C6A">
        <w:rPr>
          <w:i/>
          <w:iCs w:val="0"/>
        </w:rPr>
        <w:t>Step two:</w:t>
      </w:r>
    </w:p>
    <w:p w:rsidR="003F7639" w:rsidRPr="00016073" w:rsidRDefault="003F7639" w:rsidP="004E2B0D">
      <w:pPr>
        <w:pStyle w:val="Body"/>
      </w:pPr>
      <w:r w:rsidRPr="00016073">
        <w:t xml:space="preserve">Count the number of non-excluded long-stay residents meeting the denominator criteria for each </w:t>
      </w:r>
      <w:r w:rsidR="00CF1282" w:rsidRPr="00016073">
        <w:t xml:space="preserve">nursing </w:t>
      </w:r>
      <w:r w:rsidR="002B1628" w:rsidRPr="00016073">
        <w:t>home</w:t>
      </w:r>
      <w:r w:rsidR="00CF1282" w:rsidRPr="00016073">
        <w:t>.</w:t>
      </w:r>
    </w:p>
    <w:p w:rsidR="003F7639" w:rsidRPr="00A64C6A" w:rsidRDefault="003F7639" w:rsidP="004E2B0D">
      <w:pPr>
        <w:pStyle w:val="Body"/>
        <w:rPr>
          <w:i/>
          <w:iCs w:val="0"/>
        </w:rPr>
      </w:pPr>
      <w:r w:rsidRPr="00A64C6A">
        <w:rPr>
          <w:i/>
          <w:iCs w:val="0"/>
        </w:rPr>
        <w:t>Step three:</w:t>
      </w:r>
    </w:p>
    <w:p w:rsidR="009F0A77" w:rsidRPr="00016073" w:rsidRDefault="009F0A77" w:rsidP="004E2B0D">
      <w:pPr>
        <w:pStyle w:val="Body"/>
        <w:rPr>
          <w:rFonts w:cstheme="minorHAnsi"/>
          <w:i/>
        </w:rPr>
      </w:pPr>
      <w:r w:rsidRPr="00016073">
        <w:lastRenderedPageBreak/>
        <w:t xml:space="preserve">The </w:t>
      </w:r>
      <w:r w:rsidR="00CF1282" w:rsidRPr="00016073">
        <w:t xml:space="preserve">nursing </w:t>
      </w:r>
      <w:r w:rsidR="002B1628" w:rsidRPr="00016073">
        <w:t xml:space="preserve">home </w:t>
      </w:r>
      <w:r w:rsidRPr="00016073">
        <w:t xml:space="preserve">prevalence score is calculated as the number of long-stay residents in the </w:t>
      </w:r>
      <w:r w:rsidR="00CF1282" w:rsidRPr="00016073">
        <w:t xml:space="preserve">nursing </w:t>
      </w:r>
      <w:r w:rsidR="002B1628" w:rsidRPr="00016073">
        <w:t>home</w:t>
      </w:r>
      <w:r w:rsidRPr="00016073">
        <w:t xml:space="preserve"> during the target period in the numerator</w:t>
      </w:r>
      <w:r w:rsidR="003F7639" w:rsidRPr="00016073">
        <w:t xml:space="preserve"> (step one)</w:t>
      </w:r>
      <w:r w:rsidRPr="00016073">
        <w:t xml:space="preserve"> divided by all </w:t>
      </w:r>
      <w:r w:rsidR="003F7639" w:rsidRPr="00016073">
        <w:t xml:space="preserve">non-excluded </w:t>
      </w:r>
      <w:r w:rsidRPr="00016073">
        <w:t>long-stay residents during the target period in the denominator</w:t>
      </w:r>
      <w:r w:rsidR="003F7639" w:rsidRPr="00016073">
        <w:t xml:space="preserve"> (step two).</w:t>
      </w:r>
    </w:p>
    <w:p w:rsidR="007C359F" w:rsidRPr="00016073" w:rsidRDefault="007C359F" w:rsidP="007C359F">
      <w:pPr>
        <w:spacing w:before="0" w:after="200" w:line="276" w:lineRule="auto"/>
        <w:rPr>
          <w:rFonts w:asciiTheme="minorHAnsi" w:eastAsiaTheme="minorHAnsi" w:hAnsiTheme="minorHAnsi" w:cstheme="minorHAnsi"/>
          <w:bCs/>
          <w:i/>
          <w:sz w:val="20"/>
          <w:szCs w:val="20"/>
        </w:rPr>
      </w:pPr>
      <w:r w:rsidRPr="00016073">
        <w:rPr>
          <w:rFonts w:asciiTheme="minorHAnsi" w:eastAsiaTheme="minorHAnsi" w:hAnsiTheme="minorHAnsi" w:cstheme="minorHAnsi"/>
          <w:bCs/>
          <w:i/>
          <w:sz w:val="20"/>
          <w:szCs w:val="20"/>
        </w:rPr>
        <w:br w:type="page"/>
      </w:r>
    </w:p>
    <w:tbl>
      <w:tblPr>
        <w:tblStyle w:val="TableGrid"/>
        <w:tblW w:w="5000" w:type="pct"/>
        <w:tblLook w:val="04A0"/>
      </w:tblPr>
      <w:tblGrid>
        <w:gridCol w:w="10296"/>
      </w:tblGrid>
      <w:tr w:rsidR="007C359F" w:rsidRPr="00016073" w:rsidTr="00760333">
        <w:trPr>
          <w:trHeight w:val="1223"/>
        </w:trPr>
        <w:tc>
          <w:tcPr>
            <w:tcW w:w="5000" w:type="pct"/>
            <w:shd w:val="clear" w:color="auto" w:fill="002060"/>
            <w:vAlign w:val="center"/>
          </w:tcPr>
          <w:p w:rsidR="007C359F" w:rsidRPr="00760333" w:rsidRDefault="007C359F" w:rsidP="00760333">
            <w:pPr>
              <w:pStyle w:val="NormalWeb"/>
              <w:spacing w:before="120" w:beforeAutospacing="0" w:after="200" w:afterAutospacing="0" w:line="276" w:lineRule="auto"/>
              <w:rPr>
                <w:rFonts w:asciiTheme="minorHAnsi" w:eastAsia="Calibri" w:hAnsiTheme="minorHAnsi" w:cstheme="minorHAnsi"/>
                <w:i/>
                <w:color w:val="F2F2F2" w:themeColor="background1" w:themeShade="F2"/>
                <w:sz w:val="20"/>
                <w:szCs w:val="20"/>
              </w:rPr>
            </w:pPr>
            <w:r w:rsidRPr="00760333">
              <w:rPr>
                <w:rStyle w:val="Heading1Char"/>
                <w:b w:val="0"/>
              </w:rPr>
              <w:lastRenderedPageBreak/>
              <w:t>Measure Name De.1</w:t>
            </w:r>
            <w:r w:rsidR="00026658" w:rsidRPr="00760333">
              <w:rPr>
                <w:rStyle w:val="Heading1Char"/>
                <w:b w:val="0"/>
              </w:rPr>
              <w:t>.</w:t>
            </w:r>
            <w:r w:rsidR="00760333">
              <w:rPr>
                <w:rStyle w:val="Heading1Char"/>
                <w:b w:val="0"/>
              </w:rPr>
              <w:br/>
            </w:r>
            <w:r w:rsidRPr="00760333">
              <w:rPr>
                <w:rFonts w:asciiTheme="minorHAnsi" w:eastAsia="Calibri" w:hAnsiTheme="minorHAnsi" w:cstheme="minorHAnsi"/>
                <w:i/>
                <w:color w:val="F2F2F2" w:themeColor="background1" w:themeShade="F2"/>
                <w:sz w:val="20"/>
                <w:szCs w:val="20"/>
              </w:rPr>
              <w:t xml:space="preserve">Briefly convey as much information as possible about the measure focus and target population—abbreviated description </w:t>
            </w:r>
          </w:p>
          <w:p w:rsidR="00262F74" w:rsidRPr="00760333" w:rsidRDefault="00262F74" w:rsidP="00760333">
            <w:pPr>
              <w:pStyle w:val="NormalWeb"/>
              <w:spacing w:before="160" w:beforeAutospacing="0" w:after="160" w:afterAutospacing="0"/>
              <w:rPr>
                <w:rFonts w:asciiTheme="majorHAnsi" w:hAnsiTheme="majorHAnsi"/>
              </w:rPr>
            </w:pPr>
            <w:r w:rsidRPr="00760333">
              <w:rPr>
                <w:rFonts w:ascii="Calibri" w:eastAsiaTheme="minorHAnsi" w:hAnsi="Calibri"/>
                <w:sz w:val="20"/>
                <w:szCs w:val="20"/>
              </w:rPr>
              <w:t>Percent of Long-Stay Residents Who Received an Antipsychotic (AP) Medication</w:t>
            </w:r>
          </w:p>
        </w:tc>
      </w:tr>
    </w:tbl>
    <w:p w:rsidR="00712CC4" w:rsidRPr="00016073" w:rsidRDefault="00BD2EB0" w:rsidP="00712CC4">
      <w:pPr>
        <w:pStyle w:val="Heading4"/>
      </w:pPr>
      <w:r w:rsidRPr="00016073">
        <w:t>3b</w:t>
      </w:r>
      <w:r w:rsidR="00712CC4" w:rsidRPr="00016073">
        <w:t xml:space="preserve"> Measure Justification</w:t>
      </w:r>
    </w:p>
    <w:p w:rsidR="007C359F" w:rsidRPr="00016073" w:rsidRDefault="007C359F" w:rsidP="005922A1">
      <w:pPr>
        <w:pStyle w:val="Heading2"/>
        <w:rPr>
          <w:rFonts w:eastAsiaTheme="majorEastAsia"/>
        </w:rPr>
      </w:pPr>
      <w:r w:rsidRPr="00016073">
        <w:rPr>
          <w:rFonts w:eastAsiaTheme="majorEastAsia"/>
        </w:rPr>
        <w:t>Importance</w:t>
      </w:r>
    </w:p>
    <w:p w:rsidR="007C359F" w:rsidRPr="00016073" w:rsidRDefault="007C359F" w:rsidP="00E81F46">
      <w:pPr>
        <w:pStyle w:val="ListParagraph"/>
        <w:keepNext/>
        <w:keepLines/>
        <w:numPr>
          <w:ilvl w:val="0"/>
          <w:numId w:val="9"/>
        </w:numPr>
        <w:spacing w:before="200" w:after="0" w:line="276" w:lineRule="auto"/>
        <w:outlineLvl w:val="1"/>
        <w:rPr>
          <w:rFonts w:asciiTheme="majorHAnsi" w:eastAsiaTheme="majorEastAsia" w:hAnsiTheme="majorHAnsi" w:cstheme="minorHAnsi"/>
          <w:b/>
          <w:bCs/>
          <w:i/>
          <w:szCs w:val="20"/>
        </w:rPr>
      </w:pPr>
      <w:r w:rsidRPr="00016073">
        <w:rPr>
          <w:rFonts w:asciiTheme="majorHAnsi" w:eastAsiaTheme="majorEastAsia" w:hAnsiTheme="majorHAnsi" w:cstheme="minorHAnsi"/>
          <w:b/>
          <w:bCs/>
          <w:i/>
          <w:szCs w:val="20"/>
        </w:rPr>
        <w:t>High Impact Aspect of Health Care</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ajorEastAsia" w:hAnsiTheme="minorHAnsi" w:cstheme="minorHAnsi"/>
          <w:b/>
          <w:bCs/>
          <w:szCs w:val="20"/>
        </w:rPr>
      </w:pPr>
      <w:r w:rsidRPr="00016073">
        <w:rPr>
          <w:rFonts w:asciiTheme="minorHAnsi" w:eastAsiaTheme="majorEastAsia" w:hAnsiTheme="minorHAnsi" w:cstheme="minorHAnsi"/>
          <w:b/>
          <w:bCs/>
          <w:szCs w:val="20"/>
        </w:rPr>
        <w:t>Demonstrated high impact aspect</w:t>
      </w:r>
    </w:p>
    <w:p w:rsidR="007C359F" w:rsidRPr="00016073" w:rsidRDefault="007C359F" w:rsidP="00F938F7">
      <w:pPr>
        <w:pStyle w:val="Body2"/>
      </w:pPr>
      <w:r w:rsidRPr="00016073">
        <w:t>1a1.1</w:t>
      </w:r>
      <w:r w:rsidR="00155E08">
        <w:t xml:space="preserve">. </w:t>
      </w:r>
      <w:r w:rsidRPr="00016073">
        <w:t xml:space="preserve"> Select from the following all that apply: </w:t>
      </w:r>
    </w:p>
    <w:p w:rsidR="007C359F" w:rsidRPr="00F938F7" w:rsidRDefault="007C359F" w:rsidP="00F938F7">
      <w:pPr>
        <w:numPr>
          <w:ilvl w:val="0"/>
          <w:numId w:val="14"/>
        </w:numPr>
        <w:spacing w:before="0" w:after="0" w:line="276" w:lineRule="auto"/>
        <w:ind w:left="1440"/>
        <w:contextualSpacing/>
        <w:rPr>
          <w:rFonts w:asciiTheme="minorHAnsi" w:eastAsia="Times New Roman" w:hAnsiTheme="minorHAnsi" w:cstheme="minorHAnsi"/>
          <w:bCs/>
          <w:i/>
          <w:sz w:val="20"/>
          <w:szCs w:val="20"/>
        </w:rPr>
      </w:pPr>
      <w:r w:rsidRPr="00F938F7">
        <w:rPr>
          <w:rFonts w:asciiTheme="minorHAnsi" w:eastAsia="Times New Roman" w:hAnsiTheme="minorHAnsi" w:cstheme="minorHAnsi"/>
          <w:bCs/>
          <w:i/>
          <w:sz w:val="20"/>
          <w:szCs w:val="20"/>
        </w:rPr>
        <w:t>Affects large numbers</w:t>
      </w:r>
      <w:r w:rsidR="004935BF" w:rsidRPr="00F938F7">
        <w:rPr>
          <w:rFonts w:asciiTheme="minorHAnsi" w:eastAsia="Times New Roman" w:hAnsiTheme="minorHAnsi" w:cstheme="minorHAnsi"/>
          <w:bCs/>
          <w:i/>
          <w:sz w:val="20"/>
          <w:szCs w:val="20"/>
        </w:rPr>
        <w:t xml:space="preserve"> </w:t>
      </w:r>
      <w:r w:rsidR="004935BF" w:rsidRPr="00F938F7">
        <w:rPr>
          <w:rFonts w:asciiTheme="minorHAnsi" w:eastAsia="Times New Roman" w:hAnsiTheme="minorHAnsi" w:cstheme="minorHAnsi"/>
          <w:bCs/>
          <w:i/>
          <w:color w:val="0000FF"/>
          <w:sz w:val="20"/>
          <w:szCs w:val="20"/>
        </w:rPr>
        <w:t>X</w:t>
      </w:r>
    </w:p>
    <w:p w:rsidR="007C359F" w:rsidRPr="00F938F7" w:rsidRDefault="007C359F" w:rsidP="00F938F7">
      <w:pPr>
        <w:numPr>
          <w:ilvl w:val="0"/>
          <w:numId w:val="14"/>
        </w:numPr>
        <w:spacing w:before="0" w:after="0" w:line="276" w:lineRule="auto"/>
        <w:ind w:left="1440"/>
        <w:contextualSpacing/>
        <w:rPr>
          <w:rFonts w:asciiTheme="minorHAnsi" w:eastAsia="Times New Roman" w:hAnsiTheme="minorHAnsi" w:cstheme="minorHAnsi"/>
          <w:bCs/>
          <w:i/>
          <w:sz w:val="20"/>
          <w:szCs w:val="20"/>
        </w:rPr>
      </w:pPr>
      <w:r w:rsidRPr="00F938F7">
        <w:rPr>
          <w:rFonts w:asciiTheme="minorHAnsi" w:eastAsia="Times New Roman" w:hAnsiTheme="minorHAnsi" w:cstheme="minorHAnsi"/>
          <w:bCs/>
          <w:i/>
          <w:sz w:val="20"/>
          <w:szCs w:val="20"/>
        </w:rPr>
        <w:t>A leading cause of morbidity/mortality</w:t>
      </w:r>
    </w:p>
    <w:p w:rsidR="007C359F" w:rsidRPr="00F938F7" w:rsidRDefault="007C359F" w:rsidP="00F938F7">
      <w:pPr>
        <w:numPr>
          <w:ilvl w:val="0"/>
          <w:numId w:val="14"/>
        </w:numPr>
        <w:spacing w:before="0" w:after="0" w:line="276" w:lineRule="auto"/>
        <w:ind w:left="1440"/>
        <w:contextualSpacing/>
        <w:rPr>
          <w:rFonts w:asciiTheme="minorHAnsi" w:eastAsia="Times New Roman" w:hAnsiTheme="minorHAnsi" w:cstheme="minorHAnsi"/>
          <w:bCs/>
          <w:i/>
          <w:sz w:val="20"/>
          <w:szCs w:val="20"/>
        </w:rPr>
      </w:pPr>
      <w:r w:rsidRPr="00F938F7">
        <w:rPr>
          <w:rFonts w:asciiTheme="minorHAnsi" w:eastAsia="Times New Roman" w:hAnsiTheme="minorHAnsi" w:cstheme="minorHAnsi"/>
          <w:bCs/>
          <w:i/>
          <w:sz w:val="20"/>
          <w:szCs w:val="20"/>
        </w:rPr>
        <w:t>Frequently performed procedure</w:t>
      </w:r>
      <w:r w:rsidR="004935BF" w:rsidRPr="00F938F7">
        <w:rPr>
          <w:rFonts w:asciiTheme="minorHAnsi" w:eastAsia="Times New Roman" w:hAnsiTheme="minorHAnsi" w:cstheme="minorHAnsi"/>
          <w:bCs/>
          <w:i/>
          <w:sz w:val="20"/>
          <w:szCs w:val="20"/>
        </w:rPr>
        <w:t xml:space="preserve"> </w:t>
      </w:r>
      <w:r w:rsidR="004935BF" w:rsidRPr="00F938F7">
        <w:rPr>
          <w:rFonts w:asciiTheme="minorHAnsi" w:eastAsia="Times New Roman" w:hAnsiTheme="minorHAnsi" w:cstheme="minorHAnsi"/>
          <w:bCs/>
          <w:i/>
          <w:color w:val="0000FF"/>
          <w:sz w:val="20"/>
          <w:szCs w:val="20"/>
        </w:rPr>
        <w:t>X</w:t>
      </w:r>
    </w:p>
    <w:p w:rsidR="00F938F7" w:rsidRPr="00F938F7" w:rsidRDefault="007C359F" w:rsidP="00F938F7">
      <w:pPr>
        <w:numPr>
          <w:ilvl w:val="0"/>
          <w:numId w:val="14"/>
        </w:numPr>
        <w:spacing w:before="0" w:after="0" w:line="276" w:lineRule="auto"/>
        <w:ind w:left="1440"/>
        <w:contextualSpacing/>
        <w:rPr>
          <w:bCs/>
          <w:i/>
        </w:rPr>
      </w:pPr>
      <w:r w:rsidRPr="00F938F7">
        <w:rPr>
          <w:rFonts w:asciiTheme="minorHAnsi" w:eastAsia="Times New Roman" w:hAnsiTheme="minorHAnsi" w:cstheme="minorHAnsi"/>
          <w:sz w:val="20"/>
          <w:szCs w:val="20"/>
        </w:rPr>
        <w:t>High resource use</w:t>
      </w:r>
      <w:r w:rsidR="004935BF" w:rsidRPr="00F938F7">
        <w:rPr>
          <w:rFonts w:asciiTheme="minorHAnsi" w:eastAsia="Times New Roman" w:hAnsiTheme="minorHAnsi" w:cstheme="minorHAnsi"/>
          <w:sz w:val="20"/>
          <w:szCs w:val="20"/>
        </w:rPr>
        <w:t xml:space="preserve"> </w:t>
      </w:r>
      <w:r w:rsidR="004935BF" w:rsidRPr="00F938F7">
        <w:rPr>
          <w:rFonts w:asciiTheme="minorHAnsi" w:eastAsia="Times New Roman" w:hAnsiTheme="minorHAnsi" w:cstheme="minorHAnsi"/>
          <w:color w:val="0000FF"/>
          <w:sz w:val="20"/>
          <w:szCs w:val="20"/>
        </w:rPr>
        <w:t>X</w:t>
      </w:r>
    </w:p>
    <w:p w:rsidR="007C359F" w:rsidRPr="00F938F7" w:rsidRDefault="007C359F" w:rsidP="00F938F7">
      <w:pPr>
        <w:numPr>
          <w:ilvl w:val="0"/>
          <w:numId w:val="14"/>
        </w:numPr>
        <w:spacing w:before="0" w:after="0" w:line="276" w:lineRule="auto"/>
        <w:ind w:left="1440"/>
        <w:contextualSpacing/>
        <w:rPr>
          <w:rFonts w:asciiTheme="minorHAnsi" w:eastAsia="Times New Roman" w:hAnsiTheme="minorHAnsi" w:cstheme="minorHAnsi"/>
          <w:sz w:val="20"/>
          <w:szCs w:val="20"/>
        </w:rPr>
      </w:pPr>
      <w:r w:rsidRPr="00F938F7">
        <w:rPr>
          <w:rFonts w:asciiTheme="minorHAnsi" w:eastAsia="Times New Roman" w:hAnsiTheme="minorHAnsi" w:cstheme="minorHAnsi"/>
          <w:sz w:val="20"/>
          <w:szCs w:val="20"/>
        </w:rPr>
        <w:t>Patient/societal consequences of poor quality</w:t>
      </w:r>
      <w:r w:rsidR="004935BF" w:rsidRPr="00F938F7">
        <w:rPr>
          <w:rFonts w:asciiTheme="minorHAnsi" w:eastAsia="Times New Roman" w:hAnsiTheme="minorHAnsi" w:cstheme="minorHAnsi"/>
          <w:sz w:val="20"/>
          <w:szCs w:val="20"/>
        </w:rPr>
        <w:t xml:space="preserve"> </w:t>
      </w:r>
      <w:r w:rsidR="004935BF" w:rsidRPr="00F938F7">
        <w:rPr>
          <w:rFonts w:asciiTheme="minorHAnsi" w:eastAsia="Times New Roman" w:hAnsiTheme="minorHAnsi" w:cstheme="minorHAnsi"/>
          <w:color w:val="0000FF"/>
          <w:sz w:val="20"/>
          <w:szCs w:val="20"/>
        </w:rPr>
        <w:t>X</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ajorEastAsia" w:hAnsiTheme="minorHAnsi" w:cstheme="minorHAnsi"/>
          <w:b/>
          <w:bCs/>
          <w:szCs w:val="20"/>
        </w:rPr>
      </w:pPr>
      <w:r w:rsidRPr="00016073">
        <w:rPr>
          <w:rFonts w:asciiTheme="minorHAnsi" w:eastAsiaTheme="majorEastAsia" w:hAnsiTheme="minorHAnsi" w:cstheme="minorHAnsi"/>
          <w:b/>
          <w:bCs/>
          <w:szCs w:val="20"/>
        </w:rPr>
        <w:t>Summary of evidence of high impact</w:t>
      </w:r>
    </w:p>
    <w:p w:rsidR="007C359F" w:rsidRPr="00016073" w:rsidRDefault="007C359F" w:rsidP="00F938F7">
      <w:pPr>
        <w:pStyle w:val="Body2"/>
      </w:pPr>
      <w:r w:rsidRPr="00016073">
        <w:t>1a3</w:t>
      </w:r>
      <w:r w:rsidR="00026658">
        <w:t xml:space="preserve">.  </w:t>
      </w:r>
      <w:r w:rsidRPr="00016073">
        <w:t>Provide epidemiological or resource use data</w:t>
      </w:r>
    </w:p>
    <w:p w:rsidR="008E2D7F" w:rsidRPr="00016073" w:rsidRDefault="00C76EF3" w:rsidP="004E2B0D">
      <w:pPr>
        <w:pStyle w:val="Body"/>
        <w:rPr>
          <w:rFonts w:cs="Courier New"/>
        </w:rPr>
      </w:pPr>
      <w:r w:rsidRPr="00016073">
        <w:t>Based on Medicare claims and MDS, a 2011 report from Office of Inspector General revealed that between January and June 2007, 14% of nursing home residents receive atypical antipsychotics</w:t>
      </w:r>
      <w:r w:rsidR="00026658">
        <w:t xml:space="preserve">.  </w:t>
      </w:r>
      <w:r w:rsidRPr="00016073">
        <w:t>More than 80% of these residents used the antipsychotic medications for conditions that were off-label and/or were specified in the boxed warning</w:t>
      </w:r>
      <w:r w:rsidR="00026658">
        <w:t xml:space="preserve">.  </w:t>
      </w:r>
      <w:r w:rsidRPr="00016073">
        <w:t>Furthermore, 22% of the atypical antipsychotic drugs claimed were not administered in accordance with CMS standards regarding unnecessary drug use in nursing homes (e.g., providing drugs in excessive doses or for excessive durations)</w:t>
      </w:r>
      <w:r w:rsidR="00026658">
        <w:t xml:space="preserve">.  </w:t>
      </w:r>
      <w:r w:rsidR="008209F0" w:rsidRPr="00016073">
        <w:t>According to CMS’s QM/QI report, between July and September 2010, 39.4% of nursing home residents nationwide who had cognitive impairments and behavior problems but no diagnosis of psychosis or related conditions received antipsychotic</w:t>
      </w:r>
      <w:r w:rsidR="00CF1282" w:rsidRPr="00016073">
        <w:t xml:space="preserve"> medication</w:t>
      </w:r>
      <w:r w:rsidR="00320215" w:rsidRPr="00016073">
        <w:t>s</w:t>
      </w:r>
      <w:r w:rsidR="00026658">
        <w:t xml:space="preserve">.  </w:t>
      </w:r>
      <w:r w:rsidR="008209F0" w:rsidRPr="00016073">
        <w:t>Using data from the Medicare Current Beneficiary Survey and other sources, another study suggests that antipsychotic drug prescriptions in nursing homes are increasing, and approximately 27.6% of Medicare beneficiaries in nursing homes received an antipsychotic prescription during the study period</w:t>
      </w:r>
      <w:r w:rsidR="008E2D7F" w:rsidRPr="00016073">
        <w:t xml:space="preserve"> (Briesacher et al., 2005)</w:t>
      </w:r>
      <w:r w:rsidR="00026658">
        <w:t xml:space="preserve">.  </w:t>
      </w:r>
      <w:r w:rsidR="008209F0" w:rsidRPr="00016073">
        <w:t>Only 41.8% of these residents received antipsychotic therapy in accordance with nursing home prescribing guidelines; 23.4% of residents had no appropriate indication, 17.2% had daily doses exceeding recommended levels, and 17.6% had both inappropriate indications and high dosing</w:t>
      </w:r>
      <w:r w:rsidR="008E2D7F" w:rsidRPr="00016073">
        <w:t xml:space="preserve"> (Briesacher et al., 2005)</w:t>
      </w:r>
      <w:r w:rsidR="00026658">
        <w:t xml:space="preserve">.  </w:t>
      </w:r>
      <w:r w:rsidR="008209F0" w:rsidRPr="00016073">
        <w:t>Findings from another study using samples in selected states also suggest the high prevalence of antipsychotic use in nursing homes</w:t>
      </w:r>
      <w:r w:rsidR="008E2D7F" w:rsidRPr="00016073">
        <w:t xml:space="preserve"> </w:t>
      </w:r>
      <w:r w:rsidR="008E2D7F" w:rsidRPr="00016073">
        <w:rPr>
          <w:rFonts w:cs="Courier New"/>
        </w:rPr>
        <w:t xml:space="preserve">(Crystal </w:t>
      </w:r>
      <w:r w:rsidR="00AE3D7B" w:rsidRPr="00016073">
        <w:rPr>
          <w:rFonts w:cs="Courier New"/>
        </w:rPr>
        <w:t>et al.</w:t>
      </w:r>
      <w:r w:rsidR="008E2D7F" w:rsidRPr="00016073">
        <w:rPr>
          <w:rFonts w:cs="Courier New"/>
        </w:rPr>
        <w:t>, 2009)</w:t>
      </w:r>
      <w:r w:rsidR="00026658">
        <w:rPr>
          <w:rFonts w:cs="Courier New"/>
        </w:rPr>
        <w:t xml:space="preserve">.  </w:t>
      </w:r>
    </w:p>
    <w:p w:rsidR="008209F0" w:rsidRPr="00016073" w:rsidRDefault="008209F0" w:rsidP="004E2B0D">
      <w:pPr>
        <w:pStyle w:val="Body"/>
      </w:pPr>
      <w:r w:rsidRPr="00016073">
        <w:t>Antipsychotic medications are expensive to consumers and Medicare</w:t>
      </w:r>
      <w:r w:rsidR="00026658">
        <w:t xml:space="preserve">.  </w:t>
      </w:r>
      <w:r w:rsidRPr="00016073">
        <w:t>Atypical antipsychotic drugs cost more than $13 billion in 2007, and are estimated to account for almost</w:t>
      </w:r>
      <w:r w:rsidR="008E2D7F" w:rsidRPr="00016073">
        <w:t xml:space="preserve"> </w:t>
      </w:r>
      <w:r w:rsidR="00EB7E7E" w:rsidRPr="00016073">
        <w:t>5 percent of</w:t>
      </w:r>
      <w:r w:rsidRPr="00016073">
        <w:t xml:space="preserve"> drug expenditures</w:t>
      </w:r>
      <w:r w:rsidR="008E2D7F" w:rsidRPr="00016073">
        <w:t xml:space="preserve"> </w:t>
      </w:r>
      <w:r w:rsidR="008E2D7F" w:rsidRPr="00016073">
        <w:rPr>
          <w:rFonts w:cs="Courier New"/>
        </w:rPr>
        <w:t xml:space="preserve">(Alexander </w:t>
      </w:r>
      <w:r w:rsidR="00AE3D7B" w:rsidRPr="00016073">
        <w:rPr>
          <w:rFonts w:cs="Courier New"/>
        </w:rPr>
        <w:t>et al.</w:t>
      </w:r>
      <w:r w:rsidR="008E2D7F" w:rsidRPr="00016073">
        <w:rPr>
          <w:rFonts w:cs="Courier New"/>
        </w:rPr>
        <w:t>, 2011)</w:t>
      </w:r>
      <w:r w:rsidR="00026658">
        <w:t xml:space="preserve">.  </w:t>
      </w:r>
      <w:r w:rsidRPr="00016073">
        <w:t>They are also responsible for a significant portion of expenditures for Medicare Part D</w:t>
      </w:r>
      <w:r w:rsidR="008E2D7F" w:rsidRPr="00016073">
        <w:t xml:space="preserve"> (Rosack, 2005)</w:t>
      </w:r>
      <w:r w:rsidR="00026658">
        <w:t xml:space="preserve">.  </w:t>
      </w:r>
    </w:p>
    <w:p w:rsidR="008209F0" w:rsidRPr="00016073" w:rsidRDefault="00C76EF3" w:rsidP="004E2B0D">
      <w:pPr>
        <w:pStyle w:val="Body"/>
        <w:rPr>
          <w:vertAlign w:val="superscript"/>
        </w:rPr>
      </w:pPr>
      <w:r w:rsidRPr="00016073">
        <w:t xml:space="preserve">Antipsychotic medications can be potentially dangerous for the elderly, especially for those who do not have the clinical indication </w:t>
      </w:r>
      <w:r w:rsidR="00026658">
        <w:t xml:space="preserve">.  </w:t>
      </w:r>
      <w:r w:rsidR="008209F0" w:rsidRPr="00016073">
        <w:t>In April 2005, the FDA issued a black box warning against prescribing atypical antipsychotic medications for elderly with dementia</w:t>
      </w:r>
      <w:r w:rsidR="008E2D7F" w:rsidRPr="00016073">
        <w:t xml:space="preserve"> (Rosack, 2005)</w:t>
      </w:r>
      <w:r w:rsidR="00026658">
        <w:t xml:space="preserve">.  </w:t>
      </w:r>
      <w:r w:rsidR="008209F0" w:rsidRPr="00016073">
        <w:t>The evidence on which the black box warning was based came from a meta-analysis of data from 17 randomized trials with a total of 5,106 patients which identified an “approximately 1.6- to 1.7-fold increase in mortality in the combined studies”</w:t>
      </w:r>
      <w:r w:rsidR="008E2D7F" w:rsidRPr="00016073">
        <w:t xml:space="preserve"> (FDA, 2008)</w:t>
      </w:r>
      <w:r w:rsidR="00026658">
        <w:t xml:space="preserve">.  </w:t>
      </w:r>
      <w:r w:rsidR="008209F0" w:rsidRPr="00016073">
        <w:t>In 2007, a systematic review by AHRQ of off-label use of antipsychotics further reinforced the conclusion that risks for use of this drug class among elderly residents with dementia are substantial and effectiveness was modest at best</w:t>
      </w:r>
      <w:r w:rsidR="008E2D7F" w:rsidRPr="00016073">
        <w:t xml:space="preserve"> (</w:t>
      </w:r>
      <w:r w:rsidR="008E2D7F" w:rsidRPr="00016073">
        <w:rPr>
          <w:rFonts w:cs="Courier New"/>
        </w:rPr>
        <w:t>Shekelle</w:t>
      </w:r>
      <w:r w:rsidR="008E2D7F" w:rsidRPr="00016073">
        <w:t xml:space="preserve"> et al., 2007)</w:t>
      </w:r>
      <w:r w:rsidR="00026658">
        <w:t xml:space="preserve">.  </w:t>
      </w:r>
      <w:r w:rsidR="008209F0" w:rsidRPr="00016073">
        <w:t xml:space="preserve">In June 2008, the FDA extended the warning to all categories of antipsychotic drugs, conventional as well as </w:t>
      </w:r>
      <w:r w:rsidR="008E2D7F" w:rsidRPr="00016073">
        <w:t>atypical (FDA, 2008)</w:t>
      </w:r>
      <w:r w:rsidR="00026658">
        <w:t xml:space="preserve">.  </w:t>
      </w:r>
      <w:r w:rsidR="008209F0" w:rsidRPr="00016073">
        <w:t xml:space="preserve">In this warning, FDA advised health care professionals, </w:t>
      </w:r>
      <w:r w:rsidR="008209F0" w:rsidRPr="00016073">
        <w:lastRenderedPageBreak/>
        <w:t>"Antipsychotics are not indicated for the treatment of dementia-related psychosis." Besides elevated mortality risk, clinical trials of atypical antipsychotic medications also show serious adverse events including cerebrovascular adverse events, falls, somnolence and abnormal gait</w:t>
      </w:r>
      <w:r w:rsidR="008E2D7F" w:rsidRPr="00016073">
        <w:t xml:space="preserve"> </w:t>
      </w:r>
      <w:r w:rsidR="008E2D7F" w:rsidRPr="00016073">
        <w:rPr>
          <w:rFonts w:cs="Courier New"/>
        </w:rPr>
        <w:t xml:space="preserve">(Rosack, 2005; FDA, 2008; Ballard </w:t>
      </w:r>
      <w:r w:rsidR="006642D6" w:rsidRPr="00016073">
        <w:rPr>
          <w:rFonts w:cs="Courier New"/>
        </w:rPr>
        <w:t xml:space="preserve">and </w:t>
      </w:r>
      <w:r w:rsidR="008E2D7F" w:rsidRPr="00016073">
        <w:rPr>
          <w:rFonts w:cs="Courier New"/>
        </w:rPr>
        <w:t xml:space="preserve">Margallo-Lana, 2004; Martin, </w:t>
      </w:r>
      <w:r w:rsidR="00AE3D7B" w:rsidRPr="00016073">
        <w:rPr>
          <w:rFonts w:cs="Courier New"/>
        </w:rPr>
        <w:t xml:space="preserve">et al., </w:t>
      </w:r>
      <w:r w:rsidR="008E2D7F" w:rsidRPr="00016073">
        <w:rPr>
          <w:rFonts w:cs="Courier New"/>
        </w:rPr>
        <w:t>2003; Neil, Curran</w:t>
      </w:r>
      <w:r w:rsidR="006642D6" w:rsidRPr="00016073">
        <w:rPr>
          <w:rFonts w:cs="Courier New"/>
        </w:rPr>
        <w:t xml:space="preserve"> and</w:t>
      </w:r>
      <w:r w:rsidR="008E2D7F" w:rsidRPr="00016073">
        <w:rPr>
          <w:rFonts w:cs="Courier New"/>
        </w:rPr>
        <w:t xml:space="preserve"> Wattis, 2003; Jackson-Siegal, 2004; Jeste et al., 2008)</w:t>
      </w:r>
      <w:r w:rsidR="00026658">
        <w:t xml:space="preserve">.  </w:t>
      </w:r>
      <w:r w:rsidR="008209F0" w:rsidRPr="00016073">
        <w:t>After the FDA black box warnings, more evidence of harms has emerged</w:t>
      </w:r>
      <w:r w:rsidR="00026658">
        <w:t xml:space="preserve">.  </w:t>
      </w:r>
      <w:r w:rsidR="008209F0" w:rsidRPr="00016073">
        <w:t>Early in 2009, results from DART-AD, a UK randomized trial of antipsychotic treatment discontinuation, highlighted the additional dangers of long-term versus short-term use</w:t>
      </w:r>
      <w:r w:rsidR="00026658">
        <w:t xml:space="preserve">.  </w:t>
      </w:r>
      <w:r w:rsidR="008209F0" w:rsidRPr="00016073">
        <w:t>Residents with dementia who had received antipsychotic medications for at least 3 months were randomized to continue antipsychotic treatment for 12 months or to switch their medication to placebo</w:t>
      </w:r>
      <w:r w:rsidR="00026658">
        <w:t xml:space="preserve">.  </w:t>
      </w:r>
      <w:r w:rsidR="008209F0" w:rsidRPr="00016073">
        <w:t>Twelve-month survival was 70% in the continue treatment group vs</w:t>
      </w:r>
      <w:r w:rsidR="00026658">
        <w:t xml:space="preserve">.  </w:t>
      </w:r>
      <w:r w:rsidR="008209F0" w:rsidRPr="00016073">
        <w:t>77% in the placebo group</w:t>
      </w:r>
      <w:r w:rsidR="00026658">
        <w:t xml:space="preserve">.  </w:t>
      </w:r>
      <w:r w:rsidR="008209F0" w:rsidRPr="00016073">
        <w:t>Differences were even greater in longer-term follow</w:t>
      </w:r>
      <w:r w:rsidR="00DC07BB" w:rsidRPr="00016073">
        <w:t xml:space="preserve"> </w:t>
      </w:r>
      <w:r w:rsidR="008209F0" w:rsidRPr="00016073">
        <w:t>up, with 24-month survival of 46% vs</w:t>
      </w:r>
      <w:r w:rsidR="00026658">
        <w:t xml:space="preserve">.  </w:t>
      </w:r>
      <w:r w:rsidR="008209F0" w:rsidRPr="00016073">
        <w:t>71%</w:t>
      </w:r>
      <w:r w:rsidR="008E2D7F" w:rsidRPr="00016073">
        <w:t xml:space="preserve"> (</w:t>
      </w:r>
      <w:r w:rsidR="000B7689" w:rsidRPr="00016073">
        <w:t>Ballard et al., 2009)</w:t>
      </w:r>
      <w:r w:rsidR="00026658">
        <w:t xml:space="preserve">.  </w:t>
      </w:r>
      <w:r w:rsidR="008209F0" w:rsidRPr="00016073">
        <w:t>Moreover,</w:t>
      </w:r>
      <w:r w:rsidR="008209F0" w:rsidRPr="00016073">
        <w:rPr>
          <w:vertAlign w:val="superscript"/>
        </w:rPr>
        <w:t xml:space="preserve"> </w:t>
      </w:r>
      <w:r w:rsidR="008209F0" w:rsidRPr="00016073">
        <w:t>results from a 42-site NIMH-funded study—the CATIE-AD trial—found no significant difference between placebo and treatment groups in improvement on the Clinical Global Improvement Scale and concluding that “adverse effects offset advantages” in the dementia population</w:t>
      </w:r>
      <w:r w:rsidR="008E2D7F" w:rsidRPr="00016073">
        <w:t xml:space="preserve"> (</w:t>
      </w:r>
      <w:r w:rsidR="000B7689" w:rsidRPr="00016073">
        <w:t>Schneider et al., 2006)</w:t>
      </w:r>
      <w:r w:rsidR="008209F0" w:rsidRPr="00016073">
        <w:t>.</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ajorEastAsia" w:hAnsiTheme="minorHAnsi" w:cstheme="minorHAnsi"/>
          <w:b/>
          <w:bCs/>
          <w:szCs w:val="20"/>
        </w:rPr>
      </w:pPr>
      <w:r w:rsidRPr="00016073">
        <w:rPr>
          <w:rFonts w:asciiTheme="minorHAnsi" w:eastAsiaTheme="majorEastAsia" w:hAnsiTheme="minorHAnsi" w:cstheme="minorHAnsi"/>
          <w:b/>
          <w:bCs/>
          <w:szCs w:val="20"/>
        </w:rPr>
        <w:t>Citations</w:t>
      </w:r>
    </w:p>
    <w:p w:rsidR="007C359F" w:rsidRPr="00F938F7" w:rsidRDefault="007C359F" w:rsidP="00F938F7">
      <w:pPr>
        <w:pStyle w:val="Body2"/>
        <w:numPr>
          <w:ilvl w:val="0"/>
          <w:numId w:val="20"/>
        </w:numPr>
        <w:ind w:left="720"/>
      </w:pPr>
      <w:r w:rsidRPr="00F938F7">
        <w:t>1a.4</w:t>
      </w:r>
      <w:r w:rsidR="00026658" w:rsidRPr="00F938F7">
        <w:t xml:space="preserve">.  </w:t>
      </w:r>
      <w:r w:rsidRPr="00F938F7">
        <w:t>Provide citations for the evidence described above</w:t>
      </w:r>
    </w:p>
    <w:p w:rsidR="00AE3D7B" w:rsidRPr="000C016C" w:rsidRDefault="00AE3D7B" w:rsidP="005922A1">
      <w:pPr>
        <w:pStyle w:val="EndnoteText"/>
        <w:rPr>
          <w:color w:val="0000FF"/>
        </w:rPr>
      </w:pPr>
      <w:r w:rsidRPr="000C016C">
        <w:rPr>
          <w:color w:val="0000FF"/>
        </w:rPr>
        <w:t>Alexander</w:t>
      </w:r>
      <w:r w:rsidRPr="000C016C">
        <w:rPr>
          <w:rFonts w:cs="Calibri"/>
          <w:noProof/>
          <w:color w:val="0000FF"/>
        </w:rPr>
        <w:t xml:space="preserve">, </w:t>
      </w:r>
      <w:r w:rsidRPr="000C016C">
        <w:rPr>
          <w:color w:val="0000FF"/>
        </w:rPr>
        <w:t>G., Gallagher, S., Mascola, A., et al.: Increasing off-label use of antipsychotic medications in the United States, 1995-2008</w:t>
      </w:r>
      <w:r w:rsidR="00026658" w:rsidRPr="000C016C">
        <w:rPr>
          <w:color w:val="0000FF"/>
        </w:rPr>
        <w:t xml:space="preserve">.  </w:t>
      </w:r>
      <w:r w:rsidRPr="000C016C">
        <w:rPr>
          <w:color w:val="0000FF"/>
          <w:u w:val="single"/>
        </w:rPr>
        <w:t>Pharmacoepidemiol Drug Saf</w:t>
      </w:r>
      <w:r w:rsidRPr="000C016C">
        <w:rPr>
          <w:color w:val="0000FF"/>
        </w:rPr>
        <w:t xml:space="preserve"> 20(2):177-184, 2011.</w:t>
      </w:r>
    </w:p>
    <w:p w:rsidR="00AE3D7B" w:rsidRPr="000C016C" w:rsidRDefault="00AE3D7B" w:rsidP="005922A1">
      <w:pPr>
        <w:pStyle w:val="EndnoteText"/>
        <w:rPr>
          <w:noProof/>
          <w:color w:val="0000FF"/>
        </w:rPr>
      </w:pPr>
      <w:bookmarkStart w:id="2" w:name="_ENREF_2"/>
      <w:r w:rsidRPr="000C016C">
        <w:rPr>
          <w:color w:val="0000FF"/>
        </w:rPr>
        <w:t>Ballard</w:t>
      </w:r>
      <w:r w:rsidRPr="000C016C">
        <w:rPr>
          <w:noProof/>
          <w:color w:val="0000FF"/>
        </w:rPr>
        <w:t>, C., Hanney, M.L., Theodoulou, M., et al.: The dementia antipsychotic withdrawal trial (DART-AD): long-term follow-up of a randomised placebo-controlled trial</w:t>
      </w:r>
      <w:r w:rsidR="00026658" w:rsidRPr="000C016C">
        <w:rPr>
          <w:noProof/>
          <w:color w:val="0000FF"/>
        </w:rPr>
        <w:t xml:space="preserve">.  </w:t>
      </w:r>
      <w:r w:rsidRPr="000C016C">
        <w:rPr>
          <w:noProof/>
          <w:color w:val="0000FF"/>
          <w:u w:val="single"/>
        </w:rPr>
        <w:t>Lancet Neurology</w:t>
      </w:r>
      <w:r w:rsidRPr="000C016C">
        <w:rPr>
          <w:noProof/>
          <w:color w:val="0000FF"/>
        </w:rPr>
        <w:t xml:space="preserve"> 8(2):151-157, 2009.</w:t>
      </w:r>
      <w:bookmarkEnd w:id="2"/>
    </w:p>
    <w:p w:rsidR="00AE3D7B" w:rsidRPr="000C016C" w:rsidRDefault="00AE3D7B" w:rsidP="005922A1">
      <w:pPr>
        <w:pStyle w:val="EndnoteText"/>
        <w:rPr>
          <w:noProof/>
          <w:color w:val="0000FF"/>
        </w:rPr>
      </w:pPr>
      <w:bookmarkStart w:id="3" w:name="_ENREF_3"/>
      <w:r w:rsidRPr="000C016C">
        <w:rPr>
          <w:color w:val="0000FF"/>
        </w:rPr>
        <w:t>Ballard</w:t>
      </w:r>
      <w:r w:rsidRPr="000C016C">
        <w:rPr>
          <w:noProof/>
          <w:color w:val="0000FF"/>
        </w:rPr>
        <w:t>, C.G., and Margallo-Lana, M.L.: The relationship between antipsychotic treatment and quality of life for patients with dementia living in residential and nursing home care facilities</w:t>
      </w:r>
      <w:r w:rsidR="00026658" w:rsidRPr="000C016C">
        <w:rPr>
          <w:noProof/>
          <w:color w:val="0000FF"/>
        </w:rPr>
        <w:t xml:space="preserve">.  </w:t>
      </w:r>
      <w:r w:rsidRPr="000C016C">
        <w:rPr>
          <w:noProof/>
          <w:color w:val="0000FF"/>
          <w:u w:val="single"/>
        </w:rPr>
        <w:t>J Clin Psychiatry</w:t>
      </w:r>
      <w:r w:rsidRPr="000C016C">
        <w:rPr>
          <w:noProof/>
          <w:color w:val="0000FF"/>
        </w:rPr>
        <w:t xml:space="preserve"> 65 Suppl 11:23-28, 2004.</w:t>
      </w:r>
      <w:bookmarkEnd w:id="3"/>
    </w:p>
    <w:p w:rsidR="00AE3D7B" w:rsidRPr="000C016C" w:rsidRDefault="00AE3D7B" w:rsidP="005922A1">
      <w:pPr>
        <w:pStyle w:val="EndnoteText"/>
        <w:rPr>
          <w:noProof/>
          <w:color w:val="0000FF"/>
        </w:rPr>
      </w:pPr>
      <w:bookmarkStart w:id="4" w:name="_ENREF_4"/>
      <w:r w:rsidRPr="000C016C">
        <w:rPr>
          <w:color w:val="0000FF"/>
        </w:rPr>
        <w:t>Briesacher</w:t>
      </w:r>
      <w:r w:rsidRPr="000C016C">
        <w:rPr>
          <w:noProof/>
          <w:color w:val="0000FF"/>
        </w:rPr>
        <w:t>, B.A., Limcangco, M.R., Simoni-Wastila, L., et al.: The quality of antipsychotic drug prescribing in nursing homes</w:t>
      </w:r>
      <w:r w:rsidR="00026658" w:rsidRPr="000C016C">
        <w:rPr>
          <w:noProof/>
          <w:color w:val="0000FF"/>
        </w:rPr>
        <w:t xml:space="preserve">.  </w:t>
      </w:r>
      <w:r w:rsidRPr="000C016C">
        <w:rPr>
          <w:noProof/>
          <w:color w:val="0000FF"/>
          <w:u w:val="single"/>
        </w:rPr>
        <w:t>ArchIntern Med</w:t>
      </w:r>
      <w:r w:rsidRPr="000C016C">
        <w:rPr>
          <w:noProof/>
          <w:color w:val="0000FF"/>
        </w:rPr>
        <w:t xml:space="preserve"> 165(11):1280-1285, 2005.</w:t>
      </w:r>
      <w:bookmarkEnd w:id="4"/>
    </w:p>
    <w:p w:rsidR="00AE3D7B" w:rsidRPr="000C016C" w:rsidRDefault="00AE3D7B" w:rsidP="005922A1">
      <w:pPr>
        <w:pStyle w:val="EndnoteText"/>
        <w:rPr>
          <w:noProof/>
          <w:color w:val="0000FF"/>
        </w:rPr>
      </w:pPr>
      <w:bookmarkStart w:id="5" w:name="_ENREF_5"/>
      <w:r w:rsidRPr="000C016C">
        <w:rPr>
          <w:color w:val="0000FF"/>
        </w:rPr>
        <w:t>CMS</w:t>
      </w:r>
      <w:r w:rsidRPr="000C016C">
        <w:rPr>
          <w:noProof/>
          <w:color w:val="0000FF"/>
        </w:rPr>
        <w:t xml:space="preserve">: </w:t>
      </w:r>
      <w:r w:rsidR="00467761" w:rsidRPr="000C016C">
        <w:rPr>
          <w:noProof/>
          <w:color w:val="0000FF"/>
        </w:rPr>
        <w:t>MDS Quality Measure/Indicator Report, Psychotropic Drug Use, July/September 2010</w:t>
      </w:r>
      <w:r w:rsidRPr="000C016C">
        <w:rPr>
          <w:noProof/>
          <w:color w:val="0000FF"/>
        </w:rPr>
        <w:t>, 2010.</w:t>
      </w:r>
      <w:bookmarkEnd w:id="5"/>
    </w:p>
    <w:p w:rsidR="00AE3D7B" w:rsidRPr="000C016C" w:rsidRDefault="00AE3D7B" w:rsidP="005922A1">
      <w:pPr>
        <w:pStyle w:val="EndnoteText"/>
        <w:rPr>
          <w:noProof/>
          <w:color w:val="0000FF"/>
        </w:rPr>
      </w:pPr>
      <w:bookmarkStart w:id="6" w:name="_ENREF_6"/>
      <w:r w:rsidRPr="000C016C">
        <w:rPr>
          <w:noProof/>
          <w:color w:val="0000FF"/>
        </w:rPr>
        <w:t>Crystal, S., Olfson, M., Huang, C., et al.: Broadened use of atypical antipsychotics: safety, effectiveness, and policy challenges</w:t>
      </w:r>
      <w:r w:rsidR="00026658" w:rsidRPr="000C016C">
        <w:rPr>
          <w:noProof/>
          <w:color w:val="0000FF"/>
        </w:rPr>
        <w:t xml:space="preserve">.  </w:t>
      </w:r>
      <w:r w:rsidRPr="000C016C">
        <w:rPr>
          <w:noProof/>
          <w:color w:val="0000FF"/>
          <w:u w:val="single"/>
        </w:rPr>
        <w:t>Health Aff (Millwood)</w:t>
      </w:r>
      <w:r w:rsidRPr="000C016C">
        <w:rPr>
          <w:noProof/>
          <w:color w:val="0000FF"/>
        </w:rPr>
        <w:t xml:space="preserve"> 28(5):w770-781, 2009.</w:t>
      </w:r>
      <w:bookmarkEnd w:id="6"/>
    </w:p>
    <w:p w:rsidR="00AE3D7B" w:rsidRPr="000C016C" w:rsidRDefault="00AE3D7B" w:rsidP="005922A1">
      <w:pPr>
        <w:pStyle w:val="EndnoteText"/>
        <w:rPr>
          <w:noProof/>
          <w:color w:val="0000FF"/>
        </w:rPr>
      </w:pPr>
      <w:bookmarkStart w:id="7" w:name="_ENREF_7"/>
      <w:r w:rsidRPr="000C016C">
        <w:rPr>
          <w:color w:val="0000FF"/>
        </w:rPr>
        <w:t>Doody</w:t>
      </w:r>
      <w:r w:rsidRPr="000C016C">
        <w:rPr>
          <w:noProof/>
          <w:color w:val="0000FF"/>
        </w:rPr>
        <w:t>, R.S., Stevens, J.C., Beck, C., et al.: Practice parameter: management of dementia (an evidence-based review)</w:t>
      </w:r>
      <w:r w:rsidR="00026658" w:rsidRPr="000C016C">
        <w:rPr>
          <w:noProof/>
          <w:color w:val="0000FF"/>
        </w:rPr>
        <w:t xml:space="preserve">.  </w:t>
      </w:r>
      <w:r w:rsidRPr="000C016C">
        <w:rPr>
          <w:noProof/>
          <w:color w:val="0000FF"/>
        </w:rPr>
        <w:t>Report of the Quality Standards Subcommittee of the American Academy of Neurology</w:t>
      </w:r>
      <w:r w:rsidR="00026658" w:rsidRPr="000C016C">
        <w:rPr>
          <w:noProof/>
          <w:color w:val="0000FF"/>
        </w:rPr>
        <w:t xml:space="preserve">.  </w:t>
      </w:r>
      <w:r w:rsidRPr="000C016C">
        <w:rPr>
          <w:noProof/>
          <w:color w:val="0000FF"/>
          <w:u w:val="single"/>
        </w:rPr>
        <w:t>Neurology</w:t>
      </w:r>
      <w:r w:rsidRPr="000C016C">
        <w:rPr>
          <w:noProof/>
          <w:color w:val="0000FF"/>
        </w:rPr>
        <w:t xml:space="preserve"> 56(9):1154-1166, 2001.</w:t>
      </w:r>
      <w:bookmarkEnd w:id="7"/>
    </w:p>
    <w:p w:rsidR="00AE3D7B" w:rsidRPr="000C016C" w:rsidRDefault="00AE3D7B" w:rsidP="005922A1">
      <w:pPr>
        <w:pStyle w:val="EndnoteText"/>
        <w:rPr>
          <w:rFonts w:cs="Calibri"/>
          <w:noProof/>
          <w:color w:val="0000FF"/>
        </w:rPr>
      </w:pPr>
      <w:bookmarkStart w:id="8" w:name="_ENREF_8"/>
      <w:r w:rsidRPr="000C016C">
        <w:rPr>
          <w:color w:val="0000FF"/>
        </w:rPr>
        <w:t>FDA</w:t>
      </w:r>
      <w:r w:rsidRPr="000C016C">
        <w:rPr>
          <w:rFonts w:cs="Calibri"/>
          <w:noProof/>
          <w:color w:val="0000FF"/>
        </w:rPr>
        <w:t>: Information for Healthcare Professionals: Conventional Antipsychotics</w:t>
      </w:r>
      <w:r w:rsidR="00026658" w:rsidRPr="000C016C">
        <w:rPr>
          <w:rFonts w:cs="Calibri"/>
          <w:noProof/>
          <w:color w:val="0000FF"/>
        </w:rPr>
        <w:t xml:space="preserve">.  </w:t>
      </w:r>
      <w:r w:rsidRPr="000C016C">
        <w:rPr>
          <w:rFonts w:cs="Calibri"/>
          <w:noProof/>
          <w:color w:val="0000FF"/>
        </w:rPr>
        <w:t>FDA Alert (June 16, 2008)</w:t>
      </w:r>
      <w:r w:rsidR="00026658" w:rsidRPr="000C016C">
        <w:rPr>
          <w:rFonts w:cs="Calibri"/>
          <w:noProof/>
          <w:color w:val="0000FF"/>
        </w:rPr>
        <w:t xml:space="preserve">.  </w:t>
      </w:r>
      <w:hyperlink r:id="rId15" w:history="1">
        <w:r w:rsidRPr="000C016C">
          <w:rPr>
            <w:rStyle w:val="Hyperlink"/>
            <w:noProof/>
          </w:rPr>
          <w:t>http://www.fda.gov/drugs/drugsafety/postmarketdrugsafetyinformationforpatientsandproviders/ucm124830.htm</w:t>
        </w:r>
      </w:hyperlink>
    </w:p>
    <w:p w:rsidR="00AE3D7B" w:rsidRPr="000C016C" w:rsidRDefault="00AE3D7B" w:rsidP="005922A1">
      <w:pPr>
        <w:pStyle w:val="EndnoteText"/>
        <w:rPr>
          <w:noProof/>
          <w:color w:val="0000FF"/>
        </w:rPr>
      </w:pPr>
      <w:bookmarkStart w:id="9" w:name="_ENREF_9"/>
      <w:bookmarkEnd w:id="8"/>
      <w:r w:rsidRPr="000C016C">
        <w:rPr>
          <w:color w:val="0000FF"/>
        </w:rPr>
        <w:t>Huybrechts</w:t>
      </w:r>
      <w:r w:rsidRPr="000C016C">
        <w:rPr>
          <w:noProof/>
          <w:color w:val="0000FF"/>
        </w:rPr>
        <w:t>, K.F., Gerhard, T., Crystal, S., et al.: Differential risk of death in older residents in nursing homes prescribed specific antipsychotic drugs: population based cohort study</w:t>
      </w:r>
      <w:r w:rsidR="00026658" w:rsidRPr="000C016C">
        <w:rPr>
          <w:noProof/>
          <w:color w:val="0000FF"/>
        </w:rPr>
        <w:t xml:space="preserve">.  </w:t>
      </w:r>
      <w:r w:rsidRPr="000C016C">
        <w:rPr>
          <w:noProof/>
          <w:color w:val="0000FF"/>
          <w:u w:val="single"/>
        </w:rPr>
        <w:t>BMJ</w:t>
      </w:r>
      <w:r w:rsidRPr="000C016C">
        <w:rPr>
          <w:noProof/>
          <w:color w:val="0000FF"/>
        </w:rPr>
        <w:t xml:space="preserve"> 344:e977, 2012.</w:t>
      </w:r>
      <w:bookmarkEnd w:id="9"/>
    </w:p>
    <w:p w:rsidR="00AE3D7B" w:rsidRPr="000C016C" w:rsidRDefault="00AE3D7B" w:rsidP="005922A1">
      <w:pPr>
        <w:pStyle w:val="EndnoteText"/>
        <w:rPr>
          <w:noProof/>
          <w:color w:val="0000FF"/>
        </w:rPr>
      </w:pPr>
      <w:bookmarkStart w:id="10" w:name="_ENREF_10"/>
      <w:r w:rsidRPr="000C016C">
        <w:rPr>
          <w:color w:val="0000FF"/>
        </w:rPr>
        <w:t>Jackson</w:t>
      </w:r>
      <w:r w:rsidRPr="000C016C">
        <w:rPr>
          <w:noProof/>
          <w:color w:val="0000FF"/>
        </w:rPr>
        <w:t>-Siegal, J.M., Schneider, L.S., Baskys, A., et al.: Recognizing and responding to atypical antipsychotic side effects</w:t>
      </w:r>
      <w:r w:rsidR="00026658" w:rsidRPr="000C016C">
        <w:rPr>
          <w:noProof/>
          <w:color w:val="0000FF"/>
        </w:rPr>
        <w:t xml:space="preserve">.  </w:t>
      </w:r>
      <w:r w:rsidR="007C469C" w:rsidRPr="000C016C">
        <w:rPr>
          <w:noProof/>
          <w:color w:val="0000FF"/>
          <w:u w:val="single"/>
        </w:rPr>
        <w:t>J Am Med Dir Assoc</w:t>
      </w:r>
      <w:r w:rsidRPr="000C016C">
        <w:rPr>
          <w:noProof/>
          <w:color w:val="0000FF"/>
        </w:rPr>
        <w:t xml:space="preserve"> 5(4 Suppl):H7-10, 2004.</w:t>
      </w:r>
      <w:bookmarkEnd w:id="10"/>
    </w:p>
    <w:p w:rsidR="00AE3D7B" w:rsidRPr="000C016C" w:rsidRDefault="00AE3D7B" w:rsidP="005922A1">
      <w:pPr>
        <w:pStyle w:val="EndnoteText"/>
        <w:rPr>
          <w:noProof/>
          <w:color w:val="0000FF"/>
        </w:rPr>
      </w:pPr>
      <w:bookmarkStart w:id="11" w:name="_ENREF_11"/>
      <w:r w:rsidRPr="000C016C">
        <w:rPr>
          <w:color w:val="0000FF"/>
        </w:rPr>
        <w:t>Jeste</w:t>
      </w:r>
      <w:r w:rsidRPr="000C016C">
        <w:rPr>
          <w:noProof/>
          <w:color w:val="0000FF"/>
        </w:rPr>
        <w:t>, D.V., Blazer, D., Casey, D., et al.: ACNP White Paper: update on use of antipsychotic drugs in elderly persons with dementia</w:t>
      </w:r>
      <w:r w:rsidR="00026658" w:rsidRPr="000C016C">
        <w:rPr>
          <w:noProof/>
          <w:color w:val="0000FF"/>
        </w:rPr>
        <w:t xml:space="preserve">.  </w:t>
      </w:r>
      <w:r w:rsidRPr="000C016C">
        <w:rPr>
          <w:noProof/>
          <w:color w:val="0000FF"/>
          <w:u w:val="single"/>
        </w:rPr>
        <w:t xml:space="preserve">Neuropsychopharmacology </w:t>
      </w:r>
      <w:r w:rsidRPr="000C016C">
        <w:rPr>
          <w:noProof/>
          <w:color w:val="0000FF"/>
        </w:rPr>
        <w:t>33(5):957-970, 2008.</w:t>
      </w:r>
      <w:bookmarkEnd w:id="11"/>
    </w:p>
    <w:p w:rsidR="00AE3D7B" w:rsidRPr="000C016C" w:rsidRDefault="00AE3D7B" w:rsidP="005922A1">
      <w:pPr>
        <w:pStyle w:val="EndnoteText"/>
        <w:rPr>
          <w:noProof/>
          <w:color w:val="0000FF"/>
        </w:rPr>
      </w:pPr>
      <w:bookmarkStart w:id="12" w:name="_ENREF_12"/>
      <w:r w:rsidRPr="000C016C">
        <w:rPr>
          <w:color w:val="0000FF"/>
        </w:rPr>
        <w:t>Martin</w:t>
      </w:r>
      <w:r w:rsidRPr="000C016C">
        <w:rPr>
          <w:noProof/>
          <w:color w:val="0000FF"/>
        </w:rPr>
        <w:t>, H., Slyk, M.P., Deymann, S., et al.: Safety profile assessment of risperidone and olanzapine in long-term care patients with dementia</w:t>
      </w:r>
      <w:r w:rsidR="00026658" w:rsidRPr="000C016C">
        <w:rPr>
          <w:noProof/>
          <w:color w:val="0000FF"/>
        </w:rPr>
        <w:t xml:space="preserve">.  </w:t>
      </w:r>
      <w:r w:rsidRPr="000C016C">
        <w:rPr>
          <w:noProof/>
          <w:color w:val="0000FF"/>
          <w:u w:val="single"/>
        </w:rPr>
        <w:t>J</w:t>
      </w:r>
      <w:r w:rsidR="007C469C" w:rsidRPr="000C016C">
        <w:rPr>
          <w:noProof/>
          <w:color w:val="0000FF"/>
          <w:u w:val="single"/>
        </w:rPr>
        <w:t xml:space="preserve"> Am Med Dir Assoc</w:t>
      </w:r>
      <w:r w:rsidR="007C469C" w:rsidRPr="000C016C">
        <w:rPr>
          <w:noProof/>
          <w:color w:val="0000FF"/>
        </w:rPr>
        <w:t xml:space="preserve"> </w:t>
      </w:r>
      <w:r w:rsidRPr="000C016C">
        <w:rPr>
          <w:noProof/>
          <w:color w:val="0000FF"/>
        </w:rPr>
        <w:t>4(4):183-188, 2003.</w:t>
      </w:r>
      <w:bookmarkEnd w:id="12"/>
    </w:p>
    <w:p w:rsidR="00AE3D7B" w:rsidRPr="000C016C" w:rsidRDefault="00AE3D7B" w:rsidP="005922A1">
      <w:pPr>
        <w:pStyle w:val="EndnoteText"/>
        <w:rPr>
          <w:noProof/>
          <w:color w:val="0000FF"/>
        </w:rPr>
      </w:pPr>
      <w:bookmarkStart w:id="13" w:name="_ENREF_13"/>
      <w:r w:rsidRPr="000C016C">
        <w:rPr>
          <w:color w:val="0000FF"/>
        </w:rPr>
        <w:lastRenderedPageBreak/>
        <w:t>Neil</w:t>
      </w:r>
      <w:r w:rsidRPr="000C016C">
        <w:rPr>
          <w:noProof/>
          <w:color w:val="0000FF"/>
        </w:rPr>
        <w:t>, W., Curran, S.</w:t>
      </w:r>
      <w:r w:rsidR="006642D6" w:rsidRPr="000C016C">
        <w:rPr>
          <w:noProof/>
          <w:color w:val="0000FF"/>
        </w:rPr>
        <w:t>,</w:t>
      </w:r>
      <w:r w:rsidRPr="000C016C">
        <w:rPr>
          <w:noProof/>
          <w:color w:val="0000FF"/>
        </w:rPr>
        <w:t xml:space="preserve"> and Wattis, J.: Antipsychotic prescribing in older people</w:t>
      </w:r>
      <w:r w:rsidR="00026658" w:rsidRPr="000C016C">
        <w:rPr>
          <w:noProof/>
          <w:color w:val="0000FF"/>
        </w:rPr>
        <w:t xml:space="preserve">.  </w:t>
      </w:r>
      <w:r w:rsidRPr="000C016C">
        <w:rPr>
          <w:noProof/>
          <w:color w:val="0000FF"/>
          <w:u w:val="single"/>
        </w:rPr>
        <w:t>Age Ageing</w:t>
      </w:r>
      <w:r w:rsidRPr="000C016C">
        <w:rPr>
          <w:noProof/>
          <w:color w:val="0000FF"/>
        </w:rPr>
        <w:t xml:space="preserve"> 32(5):475-483, 2003.</w:t>
      </w:r>
      <w:bookmarkEnd w:id="13"/>
    </w:p>
    <w:p w:rsidR="00AE3D7B" w:rsidRPr="000C016C" w:rsidRDefault="00AE3D7B" w:rsidP="005922A1">
      <w:pPr>
        <w:pStyle w:val="EndnoteText"/>
        <w:rPr>
          <w:noProof/>
          <w:color w:val="0000FF"/>
        </w:rPr>
      </w:pPr>
      <w:bookmarkStart w:id="14" w:name="_ENREF_14"/>
      <w:r w:rsidRPr="000C016C">
        <w:rPr>
          <w:color w:val="0000FF"/>
        </w:rPr>
        <w:t>Office</w:t>
      </w:r>
      <w:r w:rsidRPr="000C016C">
        <w:rPr>
          <w:noProof/>
          <w:color w:val="0000FF"/>
        </w:rPr>
        <w:t xml:space="preserve"> of Inspector General (OIG): </w:t>
      </w:r>
      <w:r w:rsidR="00467761" w:rsidRPr="000C016C">
        <w:rPr>
          <w:noProof/>
          <w:color w:val="0000FF"/>
        </w:rPr>
        <w:t>Medicare Atypical Antipsychotic Drug Claims For Elderly Nursing Home Residents, 2011</w:t>
      </w:r>
      <w:r w:rsidRPr="000C016C">
        <w:rPr>
          <w:noProof/>
          <w:color w:val="0000FF"/>
        </w:rPr>
        <w:t>.</w:t>
      </w:r>
      <w:bookmarkEnd w:id="14"/>
    </w:p>
    <w:p w:rsidR="00AE3D7B" w:rsidRPr="000C016C" w:rsidRDefault="00AE3D7B" w:rsidP="005922A1">
      <w:pPr>
        <w:pStyle w:val="EndnoteText"/>
        <w:rPr>
          <w:noProof/>
          <w:color w:val="0000FF"/>
        </w:rPr>
      </w:pPr>
      <w:bookmarkStart w:id="15" w:name="_ENREF_15"/>
      <w:r w:rsidRPr="000C016C">
        <w:rPr>
          <w:color w:val="0000FF"/>
        </w:rPr>
        <w:t>Rosack</w:t>
      </w:r>
      <w:r w:rsidRPr="000C016C">
        <w:rPr>
          <w:noProof/>
          <w:color w:val="0000FF"/>
        </w:rPr>
        <w:t>, J.: FDA orders new warning on atypical antipsychotics</w:t>
      </w:r>
      <w:r w:rsidR="00026658" w:rsidRPr="000C016C">
        <w:rPr>
          <w:noProof/>
          <w:color w:val="0000FF"/>
        </w:rPr>
        <w:t xml:space="preserve">.  </w:t>
      </w:r>
      <w:r w:rsidRPr="000C016C">
        <w:rPr>
          <w:noProof/>
          <w:color w:val="0000FF"/>
          <w:u w:val="single"/>
        </w:rPr>
        <w:t xml:space="preserve">Psychiatr News </w:t>
      </w:r>
      <w:r w:rsidRPr="000C016C">
        <w:rPr>
          <w:noProof/>
          <w:color w:val="0000FF"/>
        </w:rPr>
        <w:t>40(9):1-50, 2005.</w:t>
      </w:r>
      <w:bookmarkEnd w:id="15"/>
    </w:p>
    <w:p w:rsidR="00AE3D7B" w:rsidRPr="000C016C" w:rsidRDefault="00AE3D7B" w:rsidP="005922A1">
      <w:pPr>
        <w:pStyle w:val="EndnoteText"/>
        <w:rPr>
          <w:noProof/>
          <w:color w:val="0000FF"/>
        </w:rPr>
      </w:pPr>
      <w:bookmarkStart w:id="16" w:name="_ENREF_16"/>
      <w:r w:rsidRPr="000C016C">
        <w:rPr>
          <w:color w:val="0000FF"/>
        </w:rPr>
        <w:t>Schneider</w:t>
      </w:r>
      <w:r w:rsidRPr="000C016C">
        <w:rPr>
          <w:noProof/>
          <w:color w:val="0000FF"/>
        </w:rPr>
        <w:t>, L., Tariot, P., Dagerman, K., et al.: Effectiveness of atypical antipsychotic drugs in patients with Alzheimer's disease</w:t>
      </w:r>
      <w:r w:rsidR="00026658" w:rsidRPr="000C016C">
        <w:rPr>
          <w:noProof/>
          <w:color w:val="0000FF"/>
        </w:rPr>
        <w:t xml:space="preserve">.  </w:t>
      </w:r>
      <w:r w:rsidRPr="000C016C">
        <w:rPr>
          <w:noProof/>
          <w:color w:val="0000FF"/>
          <w:u w:val="single"/>
        </w:rPr>
        <w:t xml:space="preserve">N Engl J Med </w:t>
      </w:r>
      <w:r w:rsidRPr="000C016C">
        <w:rPr>
          <w:noProof/>
          <w:color w:val="0000FF"/>
        </w:rPr>
        <w:t>355:1525-1538, 2006.</w:t>
      </w:r>
      <w:bookmarkEnd w:id="16"/>
    </w:p>
    <w:p w:rsidR="00AE3D7B" w:rsidRPr="00016073" w:rsidRDefault="00AE3D7B" w:rsidP="005922A1">
      <w:pPr>
        <w:pStyle w:val="EndnoteText"/>
        <w:rPr>
          <w:noProof/>
        </w:rPr>
      </w:pPr>
      <w:bookmarkStart w:id="17" w:name="_ENREF_17"/>
      <w:r w:rsidRPr="000C016C">
        <w:rPr>
          <w:color w:val="0000FF"/>
        </w:rPr>
        <w:t>Shekelle</w:t>
      </w:r>
      <w:r w:rsidRPr="000C016C">
        <w:rPr>
          <w:noProof/>
          <w:color w:val="0000FF"/>
        </w:rPr>
        <w:t xml:space="preserve">, P., Maglione, M., Bagley, S., et al.: </w:t>
      </w:r>
      <w:r w:rsidR="00467761" w:rsidRPr="000C016C">
        <w:rPr>
          <w:noProof/>
          <w:color w:val="0000FF"/>
          <w:u w:val="single"/>
        </w:rPr>
        <w:t>Comparative effectiveness of off-label use of atypical antipsychotics</w:t>
      </w:r>
      <w:r w:rsidR="00026658" w:rsidRPr="000C016C">
        <w:rPr>
          <w:noProof/>
          <w:color w:val="0000FF"/>
        </w:rPr>
        <w:t xml:space="preserve">.  </w:t>
      </w:r>
      <w:r w:rsidRPr="000C016C">
        <w:rPr>
          <w:noProof/>
          <w:color w:val="0000FF"/>
        </w:rPr>
        <w:t>Comparative Effectiveness Review No</w:t>
      </w:r>
      <w:r w:rsidR="00026658" w:rsidRPr="000C016C">
        <w:rPr>
          <w:noProof/>
          <w:color w:val="0000FF"/>
        </w:rPr>
        <w:t xml:space="preserve">.  </w:t>
      </w:r>
      <w:r w:rsidRPr="000C016C">
        <w:rPr>
          <w:noProof/>
          <w:color w:val="0000FF"/>
        </w:rPr>
        <w:t>6</w:t>
      </w:r>
      <w:r w:rsidR="00026658" w:rsidRPr="000C016C">
        <w:rPr>
          <w:noProof/>
          <w:color w:val="0000FF"/>
        </w:rPr>
        <w:t xml:space="preserve">.  </w:t>
      </w:r>
      <w:r w:rsidRPr="000C016C">
        <w:rPr>
          <w:noProof/>
          <w:color w:val="0000FF"/>
        </w:rPr>
        <w:t>(Prepared by the Southern California/RAND Evidence-based Practice Center under Contract No</w:t>
      </w:r>
      <w:r w:rsidR="00026658" w:rsidRPr="000C016C">
        <w:rPr>
          <w:noProof/>
          <w:color w:val="0000FF"/>
        </w:rPr>
        <w:t xml:space="preserve">.  </w:t>
      </w:r>
      <w:r w:rsidRPr="000C016C">
        <w:rPr>
          <w:noProof/>
          <w:color w:val="0000FF"/>
        </w:rPr>
        <w:t>290-02-0003.) Rockville, MD</w:t>
      </w:r>
      <w:r w:rsidR="00026658" w:rsidRPr="000C016C">
        <w:rPr>
          <w:noProof/>
          <w:color w:val="0000FF"/>
        </w:rPr>
        <w:t xml:space="preserve">.  </w:t>
      </w:r>
      <w:r w:rsidRPr="000C016C">
        <w:rPr>
          <w:noProof/>
          <w:color w:val="0000FF"/>
        </w:rPr>
        <w:t>Agency for Healthcare Research and Quality, January 2007.</w:t>
      </w:r>
      <w:bookmarkEnd w:id="17"/>
    </w:p>
    <w:p w:rsidR="007C359F" w:rsidRPr="00016073" w:rsidRDefault="007C359F" w:rsidP="00E81F46">
      <w:pPr>
        <w:pStyle w:val="ListParagraph"/>
        <w:keepNext/>
        <w:keepLines/>
        <w:numPr>
          <w:ilvl w:val="0"/>
          <w:numId w:val="9"/>
        </w:numPr>
        <w:spacing w:before="200" w:after="0" w:line="276" w:lineRule="auto"/>
        <w:outlineLvl w:val="1"/>
        <w:rPr>
          <w:rFonts w:asciiTheme="majorHAnsi" w:eastAsiaTheme="majorEastAsia" w:hAnsiTheme="majorHAnsi" w:cstheme="minorHAnsi"/>
          <w:b/>
          <w:bCs/>
          <w:i/>
          <w:szCs w:val="20"/>
        </w:rPr>
      </w:pPr>
      <w:r w:rsidRPr="00016073">
        <w:rPr>
          <w:rFonts w:asciiTheme="majorHAnsi" w:eastAsiaTheme="majorEastAsia" w:hAnsiTheme="majorHAnsi" w:cstheme="minorHAnsi"/>
          <w:b/>
          <w:bCs/>
          <w:i/>
          <w:szCs w:val="20"/>
        </w:rPr>
        <w:t>Opportunity for Improvement</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Briefly explain the benefits envisioned by use of this measure</w:t>
      </w:r>
    </w:p>
    <w:p w:rsidR="007C359F" w:rsidRPr="00016073" w:rsidRDefault="007C359F" w:rsidP="00F938F7">
      <w:pPr>
        <w:pStyle w:val="Body2"/>
      </w:pPr>
      <w:r w:rsidRPr="00016073">
        <w:t>1b.1</w:t>
      </w:r>
      <w:r w:rsidR="00026658">
        <w:t xml:space="preserve">.  </w:t>
      </w:r>
      <w:r w:rsidRPr="00016073">
        <w:t>(Quality improvement anticipated)</w:t>
      </w:r>
    </w:p>
    <w:p w:rsidR="00EF4B79" w:rsidRPr="00016073" w:rsidRDefault="00EF4B79" w:rsidP="00A64C6A">
      <w:pPr>
        <w:pStyle w:val="Body"/>
        <w:rPr>
          <w:rFonts w:eastAsiaTheme="minorHAnsi" w:cstheme="minorHAnsi"/>
          <w:i/>
        </w:rPr>
      </w:pPr>
      <w:r w:rsidRPr="00016073">
        <w:t>This measure is intended to encourage nursing facilities to focus on this important aspect of clinical care and to prescribe antipsychotic medications in the way consistent with the clinical guidelines, evidence and recommendations</w:t>
      </w:r>
      <w:r w:rsidR="00026658">
        <w:t xml:space="preserve">.  </w:t>
      </w:r>
      <w:r w:rsidRPr="00016073">
        <w:t>Facilities can achieve this goal by re-assessing the necessity of continuing antipsychotic medications among residents currently receiving them and more carefully examining the necessity of receiving antipsychotic medications among residents without indication of psychotic or related conditions.</w:t>
      </w:r>
    </w:p>
    <w:p w:rsidR="007C359F" w:rsidRPr="00016073" w:rsidRDefault="007C359F" w:rsidP="00E81F46">
      <w:pPr>
        <w:pStyle w:val="ListParagraph"/>
        <w:keepNext/>
        <w:keepLines/>
        <w:numPr>
          <w:ilvl w:val="0"/>
          <w:numId w:val="10"/>
        </w:numPr>
        <w:spacing w:after="0" w:line="276" w:lineRule="auto"/>
        <w:outlineLvl w:val="2"/>
        <w:rPr>
          <w:rFonts w:asciiTheme="minorHAnsi" w:hAnsiTheme="minorHAnsi" w:cstheme="minorHAnsi"/>
          <w:b/>
          <w:bCs/>
          <w:szCs w:val="20"/>
        </w:rPr>
      </w:pPr>
      <w:r w:rsidRPr="00016073">
        <w:rPr>
          <w:rFonts w:asciiTheme="minorHAnsi" w:hAnsiTheme="minorHAnsi" w:cstheme="minorHAnsi"/>
          <w:b/>
          <w:bCs/>
          <w:szCs w:val="20"/>
        </w:rPr>
        <w:t>Summary of data demonstrating performance gap</w:t>
      </w:r>
    </w:p>
    <w:p w:rsidR="007C359F" w:rsidRPr="00016073" w:rsidRDefault="007C359F" w:rsidP="00F938F7">
      <w:pPr>
        <w:pStyle w:val="Body2"/>
      </w:pPr>
      <w:r w:rsidRPr="00016073">
        <w:t>1b.2</w:t>
      </w:r>
      <w:r w:rsidR="00026658">
        <w:t xml:space="preserve">.  </w:t>
      </w:r>
      <w:r w:rsidRPr="00016073">
        <w:t>(Variation or overall less than optimal performance across providers)</w:t>
      </w:r>
    </w:p>
    <w:p w:rsidR="00F24231" w:rsidRPr="00016073" w:rsidRDefault="00F24231" w:rsidP="004E2B0D">
      <w:pPr>
        <w:pStyle w:val="Body"/>
        <w:rPr>
          <w:vertAlign w:val="superscript"/>
        </w:rPr>
      </w:pPr>
      <w:r w:rsidRPr="00016073">
        <w:t>Antidepressant prescribing in nursing homes significantly increased from 21.9% in 1996 to 47.5% in 2006</w:t>
      </w:r>
      <w:r w:rsidR="00E24E1C" w:rsidRPr="00016073">
        <w:t xml:space="preserve"> (Hanlon, Handler</w:t>
      </w:r>
      <w:r w:rsidR="00A459C2" w:rsidRPr="00016073">
        <w:t>,</w:t>
      </w:r>
      <w:r w:rsidR="00E24E1C" w:rsidRPr="00016073">
        <w:t xml:space="preserve"> </w:t>
      </w:r>
      <w:r w:rsidR="007C469C" w:rsidRPr="00016073">
        <w:t xml:space="preserve">and </w:t>
      </w:r>
      <w:r w:rsidR="00E24E1C" w:rsidRPr="00016073">
        <w:t>Castle, 2010)</w:t>
      </w:r>
      <w:r w:rsidR="00026658">
        <w:t xml:space="preserve">.  </w:t>
      </w:r>
      <w:r w:rsidRPr="00016073">
        <w:t>Despite FDA’s black box warning against prescribing antipsychotic medication for patients with dementia due to increased risk of mortality caused by such medications, 39.4% of nursing home residents nationwide who had cognitive impairments and behavior problems but no diagnosis of psychosis or related conditions received antipsychotic drugs</w:t>
      </w:r>
      <w:r w:rsidR="00E24E1C" w:rsidRPr="00016073">
        <w:t xml:space="preserve"> (Rosack, 2005; FDA, 2008; CMS, 2010)</w:t>
      </w:r>
      <w:r w:rsidR="000438AE" w:rsidRPr="00016073">
        <w:t>.</w:t>
      </w:r>
    </w:p>
    <w:p w:rsidR="00FB10F1" w:rsidRPr="00016073" w:rsidRDefault="00F24231" w:rsidP="000F2BFA">
      <w:pPr>
        <w:pStyle w:val="Body"/>
        <w:rPr>
          <w:color w:val="FF0000"/>
          <w:vertAlign w:val="superscript"/>
        </w:rPr>
      </w:pPr>
      <w:r w:rsidRPr="00016073">
        <w:t>Moreover, prevalence of antipsychotic medication use varies by facilities, suggesting performance gap at the facility-level</w:t>
      </w:r>
      <w:r w:rsidR="00026658">
        <w:t xml:space="preserve">.  </w:t>
      </w:r>
      <w:r w:rsidRPr="00016073">
        <w:t xml:space="preserve">A paper in </w:t>
      </w:r>
      <w:r w:rsidR="004158CC" w:rsidRPr="00016073">
        <w:rPr>
          <w:u w:val="single"/>
        </w:rPr>
        <w:t>Health Affairs</w:t>
      </w:r>
      <w:r w:rsidRPr="00016073">
        <w:t xml:space="preserve"> suggests that use rates were 28.8% in for-profit facilities, 24.7% in non-profit facilities, and 25.9% in government-owned facilities</w:t>
      </w:r>
      <w:r w:rsidR="00026658">
        <w:t xml:space="preserve"> </w:t>
      </w:r>
      <w:r w:rsidR="00E24E1C" w:rsidRPr="00016073">
        <w:t>(Crystal et al., 2009)</w:t>
      </w:r>
      <w:r w:rsidR="00DD02D2">
        <w:t>.</w:t>
      </w:r>
      <w:r w:rsidR="00E24E1C" w:rsidRPr="00016073">
        <w:t xml:space="preserve"> </w:t>
      </w:r>
      <w:r w:rsidR="00EA5AA3" w:rsidRPr="00016073">
        <w:rPr>
          <w:vertAlign w:val="superscript"/>
        </w:rPr>
        <w:t xml:space="preserve"> </w:t>
      </w:r>
      <w:r w:rsidR="00EA5AA3" w:rsidRPr="00016073">
        <w:t xml:space="preserve">Another study </w:t>
      </w:r>
      <w:r w:rsidR="00F10889" w:rsidRPr="00016073">
        <w:t xml:space="preserve">identifying </w:t>
      </w:r>
      <w:r w:rsidR="008E7AB1" w:rsidRPr="00016073">
        <w:t>facility variation</w:t>
      </w:r>
      <w:r w:rsidR="00F10889" w:rsidRPr="00016073">
        <w:t xml:space="preserve"> in antipsychotic use</w:t>
      </w:r>
      <w:r w:rsidR="008E7AB1" w:rsidRPr="00016073">
        <w:t xml:space="preserve"> </w:t>
      </w:r>
      <w:r w:rsidR="00FB10F1" w:rsidRPr="00016073">
        <w:t>found that 23% of the explained variation in AP prescribing rate was explained by resident characteristics, 23% was explained by facility characteristics, and a “nursing home prescribing tendency” explained 81%</w:t>
      </w:r>
      <w:r w:rsidR="00026658">
        <w:t xml:space="preserve">  </w:t>
      </w:r>
      <w:r w:rsidR="00F60381" w:rsidRPr="00016073">
        <w:t>(Huybrechts et al., 2012)</w:t>
      </w:r>
      <w:r w:rsidR="00DD02D2">
        <w:t>.</w:t>
      </w:r>
      <w:r w:rsidR="00F60381" w:rsidRPr="00016073">
        <w:rPr>
          <w:color w:val="FF0000"/>
          <w:vertAlign w:val="superscript"/>
        </w:rPr>
        <w:t xml:space="preserve"> </w:t>
      </w:r>
      <w:r w:rsidR="00FB10F1" w:rsidRPr="00016073">
        <w:t xml:space="preserve">This study </w:t>
      </w:r>
      <w:r w:rsidR="008E7AB1" w:rsidRPr="00016073">
        <w:t xml:space="preserve">concluded that </w:t>
      </w:r>
      <w:r w:rsidR="00F10889" w:rsidRPr="00016073">
        <w:t xml:space="preserve">this </w:t>
      </w:r>
      <w:r w:rsidR="008E7AB1" w:rsidRPr="00016073">
        <w:t>variation suggests</w:t>
      </w:r>
      <w:r w:rsidR="00A376F8" w:rsidRPr="00016073">
        <w:t xml:space="preserve"> the presence of a </w:t>
      </w:r>
      <w:r w:rsidR="008E7AB1" w:rsidRPr="00016073">
        <w:t>prescribing “culture”</w:t>
      </w:r>
      <w:r w:rsidR="00F10889" w:rsidRPr="00016073">
        <w:t xml:space="preserve"> </w:t>
      </w:r>
      <w:r w:rsidR="00A376F8" w:rsidRPr="00016073">
        <w:t xml:space="preserve">within facilities which may potentially </w:t>
      </w:r>
      <w:r w:rsidR="008E7AB1" w:rsidRPr="00016073">
        <w:t>be addressed via quality improvement strategies</w:t>
      </w:r>
      <w:r w:rsidR="00026658">
        <w:rPr>
          <w:color w:val="FF0000"/>
        </w:rPr>
        <w:t xml:space="preserve"> </w:t>
      </w:r>
      <w:r w:rsidR="00E24E1C" w:rsidRPr="00016073">
        <w:t>(Huybrechts et al., 2012)</w:t>
      </w:r>
      <w:r w:rsidR="00DD02D2">
        <w:rPr>
          <w:color w:val="FF0000"/>
        </w:rPr>
        <w:t xml:space="preserve">. </w:t>
      </w:r>
    </w:p>
    <w:p w:rsidR="00F24231" w:rsidRPr="00016073" w:rsidRDefault="00F24231" w:rsidP="00DD02D2">
      <w:pPr>
        <w:pStyle w:val="Body"/>
      </w:pPr>
      <w:r w:rsidRPr="00016073">
        <w:t>Mor and colleagues found that patients in “high” Medicaid (&gt;85%) nursing home had higher antipsychotic use</w:t>
      </w:r>
      <w:r w:rsidR="00026658">
        <w:t xml:space="preserve"> </w:t>
      </w:r>
      <w:r w:rsidR="00E24E1C" w:rsidRPr="00016073">
        <w:t>(Mor et al., 2006)</w:t>
      </w:r>
      <w:r w:rsidR="00DD02D2">
        <w:t>.</w:t>
      </w:r>
      <w:r w:rsidRPr="00016073">
        <w:rPr>
          <w:vertAlign w:val="superscript"/>
        </w:rPr>
        <w:t xml:space="preserve"> </w:t>
      </w:r>
      <w:r w:rsidRPr="00016073">
        <w:t xml:space="preserve">Chen </w:t>
      </w:r>
      <w:r w:rsidR="00155E08">
        <w:t xml:space="preserve">et al. </w:t>
      </w:r>
      <w:r w:rsidR="00DD02D2">
        <w:t xml:space="preserve">(2010) </w:t>
      </w:r>
      <w:r w:rsidRPr="00016073">
        <w:t>found that facilities with very high antipsychotic prescribing rate (&gt;43.8%) are more likely to locate in the South and have fewer than 250 residents</w:t>
      </w:r>
      <w:r w:rsidR="00DD02D2">
        <w:t xml:space="preserve">. </w:t>
      </w:r>
    </w:p>
    <w:p w:rsidR="00E620BC" w:rsidRPr="00016073" w:rsidRDefault="00E620BC" w:rsidP="004E2B0D">
      <w:pPr>
        <w:pStyle w:val="Body"/>
        <w:rPr>
          <w:rFonts w:eastAsia="Times New Roman"/>
        </w:rPr>
      </w:pPr>
      <w:r w:rsidRPr="00016073">
        <w:t>Further evidence has estimated the prevalence of antipsychotics in nursing home residents</w:t>
      </w:r>
      <w:r w:rsidR="00026658">
        <w:t xml:space="preserve">.  </w:t>
      </w:r>
      <w:r w:rsidRPr="00016073">
        <w:t>Analysis of the 2004 National Nursing Home Survey (NNHS) data found that nearly 24 percent of nursing home residents received second generation antipsychotic agents, of which 86 percent were estimated to have received them for off-label indications (Kamble et al., 2010)</w:t>
      </w:r>
      <w:r w:rsidR="00026658">
        <w:t xml:space="preserve">.  </w:t>
      </w:r>
      <w:r w:rsidRPr="00016073">
        <w:t>In a model predicting off-label use, nursing home residents who were older (75 years and older), self-pay, had dementia, and resided in a non profit nursing home were all positively associated with off-label use whereas having Medicaid was negatively associated with off-label use (Kamble et al., 2010)</w:t>
      </w:r>
      <w:r w:rsidR="00026658">
        <w:t xml:space="preserve">.  </w:t>
      </w:r>
      <w:r w:rsidRPr="00016073">
        <w:t>The prevalence of typical or first generation antipsychotics was also estimated using 2004 NNHS data</w:t>
      </w:r>
      <w:r w:rsidR="00026658">
        <w:t xml:space="preserve">.  </w:t>
      </w:r>
      <w:r w:rsidRPr="00016073">
        <w:t xml:space="preserve">It was found that nearly 25 percent of nursing home residents received antipsychotic agents; the majority received atypical agents (24%) compared to fewer than two percent who </w:t>
      </w:r>
      <w:r w:rsidRPr="00016073">
        <w:lastRenderedPageBreak/>
        <w:t>received typical agents (Kamble et al., 2008)</w:t>
      </w:r>
      <w:r w:rsidR="00026658">
        <w:t xml:space="preserve">.  </w:t>
      </w:r>
      <w:r w:rsidRPr="00016073">
        <w:t>This study also identified several predisposing (e.g., female and older age) and need factors (e.g., greater dependence in decision-making, depressed mood, behavioral symptoms, history of falls, and bowel incontinence) were associated in higher use of antipsychotic use (Kamble et al., 2008)</w:t>
      </w:r>
      <w:r w:rsidR="00026658">
        <w:t xml:space="preserve">.  </w:t>
      </w:r>
      <w:r w:rsidR="00523469" w:rsidRPr="00016073">
        <w:t xml:space="preserve">In </w:t>
      </w:r>
      <w:r w:rsidRPr="00016073">
        <w:t xml:space="preserve">related </w:t>
      </w:r>
      <w:r w:rsidR="00523469" w:rsidRPr="00016073">
        <w:t xml:space="preserve">work </w:t>
      </w:r>
      <w:r w:rsidRPr="00016073">
        <w:rPr>
          <w:rFonts w:eastAsia="Times New Roman"/>
        </w:rPr>
        <w:t>analyzing NNHS data estimated the overall prevalence of dementia for nursing home residents at 53 percent, and that approximately 33 percent of these residents received antipsychotics (Kamble et al., 2009)</w:t>
      </w:r>
      <w:r w:rsidR="00026658">
        <w:rPr>
          <w:rFonts w:eastAsia="Times New Roman"/>
        </w:rPr>
        <w:t xml:space="preserve">.  </w:t>
      </w:r>
      <w:r w:rsidRPr="00016073">
        <w:rPr>
          <w:rFonts w:eastAsia="Times New Roman"/>
        </w:rPr>
        <w:t>The majority of these residents who received antipsychotics received atypical agents (Kamble et al, 2009)</w:t>
      </w:r>
      <w:r w:rsidR="00026658">
        <w:rPr>
          <w:rFonts w:eastAsia="Times New Roman"/>
        </w:rPr>
        <w:t xml:space="preserve">.  </w:t>
      </w:r>
      <w:r w:rsidRPr="00016073">
        <w:rPr>
          <w:rFonts w:eastAsia="Times New Roman"/>
        </w:rPr>
        <w:t>Among the nursing home residents with dementia, being male, having moderately or severely impaired decision-making ability, depressed mood, behavioral symptoms, and diagnoses of schizophrenia, bipolar mania, and anxiety were all associated with increased odds of to</w:t>
      </w:r>
      <w:r w:rsidRPr="00016073">
        <w:t xml:space="preserve"> </w:t>
      </w:r>
      <w:r w:rsidRPr="00016073">
        <w:rPr>
          <w:rFonts w:eastAsia="Times New Roman"/>
        </w:rPr>
        <w:t>receiving atypical antipsychotics (Kamble et al., 2009).</w:t>
      </w:r>
    </w:p>
    <w:p w:rsidR="00E620BC" w:rsidRPr="00016073" w:rsidRDefault="00E620BC" w:rsidP="00DD02D2">
      <w:pPr>
        <w:pStyle w:val="Body"/>
      </w:pPr>
      <w:r w:rsidRPr="00016073">
        <w:t>Another study analyzing data from the 2004 N</w:t>
      </w:r>
      <w:r w:rsidR="00523469" w:rsidRPr="00016073">
        <w:t xml:space="preserve">NHS </w:t>
      </w:r>
      <w:r w:rsidRPr="00016073">
        <w:t>looked at the use of antipsychotic and benzodiazepine use among nursing home residents, and assessed appropriateness (Stevenson</w:t>
      </w:r>
      <w:r w:rsidR="00F403F1" w:rsidRPr="00016073">
        <w:t xml:space="preserve"> et al.</w:t>
      </w:r>
      <w:r w:rsidR="00295EC6" w:rsidRPr="00016073">
        <w:t>, 2010</w:t>
      </w:r>
      <w:r w:rsidRPr="00016073">
        <w:t>)</w:t>
      </w:r>
      <w:r w:rsidR="00026658">
        <w:t xml:space="preserve">.  </w:t>
      </w:r>
      <w:r w:rsidRPr="00016073">
        <w:t>Twenty-six percent of nursing home residents were received antipsychotic medication, and 40 percent of these residents were found to have had no appropriate indication for their use</w:t>
      </w:r>
      <w:r w:rsidR="00DD02D2">
        <w:t xml:space="preserve"> </w:t>
      </w:r>
      <w:r w:rsidRPr="00016073">
        <w:t>(Stevenson</w:t>
      </w:r>
      <w:r w:rsidR="00295EC6" w:rsidRPr="00016073">
        <w:t>, 2010</w:t>
      </w:r>
      <w:r w:rsidRPr="00016073">
        <w:t>)</w:t>
      </w:r>
      <w:r w:rsidR="00DD02D2">
        <w:t>.</w:t>
      </w:r>
      <w:r w:rsidRPr="00016073">
        <w:t xml:space="preserve"> Where antipsychotic use was not appropriate the following resident characteristics were associated with higher odds of use: younger age, behavioral symptoms, dementia, and depression</w:t>
      </w:r>
      <w:r w:rsidR="00026658">
        <w:t xml:space="preserve">  </w:t>
      </w:r>
      <w:r w:rsidRPr="00016073">
        <w:t>(Stevenson</w:t>
      </w:r>
      <w:r w:rsidR="00F403F1" w:rsidRPr="00016073">
        <w:t xml:space="preserve"> et al.</w:t>
      </w:r>
      <w:r w:rsidR="00295EC6" w:rsidRPr="00016073">
        <w:t>, 2010</w:t>
      </w:r>
      <w:r w:rsidRPr="00016073">
        <w:t>)</w:t>
      </w:r>
      <w:r w:rsidR="00DD02D2">
        <w:t xml:space="preserve">. </w:t>
      </w:r>
    </w:p>
    <w:p w:rsidR="00E620BC" w:rsidRPr="00016073" w:rsidRDefault="00E620BC" w:rsidP="00DD02D2">
      <w:pPr>
        <w:pStyle w:val="Body"/>
      </w:pPr>
      <w:r w:rsidRPr="00016073">
        <w:t>A smaller study including 107 residents with dementia from nine randomly selected nursing homes in southeast Michigan found that 67 percent of nursing home residents with dementia were prescribed psychotropic drugs (Kim and Whall</w:t>
      </w:r>
      <w:r w:rsidR="00F403F1" w:rsidRPr="00016073">
        <w:t>, 2006</w:t>
      </w:r>
      <w:r w:rsidRPr="00016073">
        <w:t>)</w:t>
      </w:r>
      <w:r w:rsidR="00026658">
        <w:t xml:space="preserve">.  </w:t>
      </w:r>
      <w:r w:rsidRPr="00016073">
        <w:t>After antidepressants, antipsychotics were the second most common drugs and were prescribed to 37 percent of residents</w:t>
      </w:r>
      <w:r w:rsidR="00DD02D2">
        <w:t xml:space="preserve"> </w:t>
      </w:r>
      <w:r w:rsidRPr="00016073">
        <w:t>(Kim and Whall</w:t>
      </w:r>
      <w:r w:rsidR="00F403F1" w:rsidRPr="00016073">
        <w:t>, 2006</w:t>
      </w:r>
      <w:r w:rsidRPr="00016073">
        <w:t>)</w:t>
      </w:r>
      <w:r w:rsidR="00DD02D2">
        <w:t>.</w:t>
      </w:r>
      <w:r w:rsidRPr="00016073">
        <w:t xml:space="preserve"> Depressive symptoms and low RN staffing levels were both associated with use of psychotropic drugs</w:t>
      </w:r>
      <w:r w:rsidR="00026658">
        <w:t xml:space="preserve"> </w:t>
      </w:r>
      <w:r w:rsidRPr="00016073">
        <w:t xml:space="preserve">(Kim and </w:t>
      </w:r>
      <w:r w:rsidR="00F403F1" w:rsidRPr="00016073">
        <w:t>Whall, 2006</w:t>
      </w:r>
      <w:r w:rsidRPr="00016073">
        <w:t>).</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 xml:space="preserve">Citations </w:t>
      </w:r>
    </w:p>
    <w:p w:rsidR="007C359F" w:rsidRPr="00016073" w:rsidRDefault="007C359F" w:rsidP="00F938F7">
      <w:pPr>
        <w:pStyle w:val="Body2"/>
      </w:pPr>
      <w:r w:rsidRPr="00016073">
        <w:t>1b.3</w:t>
      </w:r>
      <w:r w:rsidR="00026658">
        <w:t xml:space="preserve">.  </w:t>
      </w:r>
      <w:r w:rsidRPr="00016073">
        <w:t>Provide citations for the evidence described above</w:t>
      </w:r>
    </w:p>
    <w:p w:rsidR="00AE3D7B" w:rsidRPr="000C016C" w:rsidRDefault="00AE3D7B" w:rsidP="005922A1">
      <w:pPr>
        <w:pStyle w:val="EndnoteText"/>
        <w:rPr>
          <w:noProof/>
          <w:color w:val="0000FF"/>
        </w:rPr>
      </w:pPr>
      <w:r w:rsidRPr="000C016C">
        <w:rPr>
          <w:noProof/>
          <w:color w:val="0000FF"/>
        </w:rPr>
        <w:t>Chen, Y., Briesacher, B.A., Field, T.S., et al.: Unexplained variation across US nursing homes in antipsychotic prescribing rates</w:t>
      </w:r>
      <w:r w:rsidR="00026658" w:rsidRPr="000C016C">
        <w:rPr>
          <w:noProof/>
          <w:color w:val="0000FF"/>
        </w:rPr>
        <w:t xml:space="preserve">.  </w:t>
      </w:r>
      <w:r w:rsidRPr="000C016C">
        <w:rPr>
          <w:noProof/>
          <w:color w:val="0000FF"/>
          <w:u w:val="single"/>
        </w:rPr>
        <w:t>ArchIntern Med</w:t>
      </w:r>
      <w:r w:rsidRPr="000C016C">
        <w:rPr>
          <w:noProof/>
          <w:color w:val="0000FF"/>
        </w:rPr>
        <w:t xml:space="preserve"> 170(1):89-95, 2010.</w:t>
      </w:r>
    </w:p>
    <w:p w:rsidR="00AE3D7B" w:rsidRPr="000C016C" w:rsidRDefault="00AE3D7B" w:rsidP="005922A1">
      <w:pPr>
        <w:pStyle w:val="EndnoteText"/>
        <w:rPr>
          <w:noProof/>
          <w:color w:val="0000FF"/>
        </w:rPr>
      </w:pPr>
      <w:r w:rsidRPr="000C016C">
        <w:rPr>
          <w:noProof/>
          <w:color w:val="0000FF"/>
        </w:rPr>
        <w:t xml:space="preserve">CMS: </w:t>
      </w:r>
      <w:r w:rsidR="00467761" w:rsidRPr="000C016C">
        <w:rPr>
          <w:noProof/>
          <w:color w:val="0000FF"/>
        </w:rPr>
        <w:t>MDS Quality Measure/Indicator Report, Psychotropic Drug Use, July/September 2010</w:t>
      </w:r>
      <w:r w:rsidRPr="000C016C">
        <w:rPr>
          <w:noProof/>
          <w:color w:val="0000FF"/>
        </w:rPr>
        <w:t>, 2010.</w:t>
      </w:r>
    </w:p>
    <w:p w:rsidR="00AE3D7B" w:rsidRPr="000C016C" w:rsidRDefault="00AE3D7B" w:rsidP="005922A1">
      <w:pPr>
        <w:pStyle w:val="EndnoteText"/>
        <w:rPr>
          <w:noProof/>
          <w:color w:val="0000FF"/>
        </w:rPr>
      </w:pPr>
      <w:r w:rsidRPr="000C016C">
        <w:rPr>
          <w:noProof/>
          <w:color w:val="0000FF"/>
        </w:rPr>
        <w:t>Crystal, S., Olfson, M., Huang, C., et al.: Broadened use of atypical antipsychotics: safety, effectiveness, and policy challenges</w:t>
      </w:r>
      <w:r w:rsidR="00026658" w:rsidRPr="000C016C">
        <w:rPr>
          <w:noProof/>
          <w:color w:val="0000FF"/>
        </w:rPr>
        <w:t xml:space="preserve">.  </w:t>
      </w:r>
      <w:r w:rsidRPr="000C016C">
        <w:rPr>
          <w:noProof/>
          <w:color w:val="0000FF"/>
          <w:u w:val="single"/>
        </w:rPr>
        <w:t>Health Aff (Millwood)</w:t>
      </w:r>
      <w:r w:rsidRPr="000C016C">
        <w:rPr>
          <w:noProof/>
          <w:color w:val="0000FF"/>
        </w:rPr>
        <w:t xml:space="preserve"> 28(5):w770-781, 2009.</w:t>
      </w:r>
    </w:p>
    <w:p w:rsidR="00AE3D7B" w:rsidRPr="000C016C" w:rsidRDefault="00AE3D7B" w:rsidP="005922A1">
      <w:pPr>
        <w:pStyle w:val="EndnoteText"/>
        <w:rPr>
          <w:noProof/>
          <w:color w:val="0000FF"/>
        </w:rPr>
      </w:pPr>
      <w:r w:rsidRPr="000C016C">
        <w:rPr>
          <w:noProof/>
          <w:color w:val="0000FF"/>
        </w:rPr>
        <w:t xml:space="preserve">FDA: </w:t>
      </w:r>
      <w:r w:rsidR="00467761" w:rsidRPr="000C016C">
        <w:rPr>
          <w:noProof/>
          <w:color w:val="0000FF"/>
          <w:u w:val="single"/>
        </w:rPr>
        <w:t>Information for Healthcare Professionals: Conventional Antipsychotics</w:t>
      </w:r>
      <w:r w:rsidR="00026658" w:rsidRPr="000C016C">
        <w:rPr>
          <w:noProof/>
          <w:color w:val="0000FF"/>
        </w:rPr>
        <w:t xml:space="preserve">.  </w:t>
      </w:r>
      <w:r w:rsidRPr="000C016C">
        <w:rPr>
          <w:noProof/>
          <w:color w:val="0000FF"/>
        </w:rPr>
        <w:t>FDA Alert (June 16, 2008)</w:t>
      </w:r>
      <w:r w:rsidR="00026658" w:rsidRPr="000C016C">
        <w:rPr>
          <w:noProof/>
          <w:color w:val="0000FF"/>
        </w:rPr>
        <w:t xml:space="preserve">.  </w:t>
      </w:r>
      <w:hyperlink r:id="rId16" w:history="1">
        <w:r w:rsidRPr="000C016C">
          <w:rPr>
            <w:rStyle w:val="Hyperlink"/>
            <w:noProof/>
          </w:rPr>
          <w:t>http://www.fda.gov/drugs/drugsafety/postmarketdrugsafetyinformationforpatientsandproviders/ucm124830.htm</w:t>
        </w:r>
      </w:hyperlink>
    </w:p>
    <w:p w:rsidR="00AE3D7B" w:rsidRPr="000C016C" w:rsidRDefault="00AE3D7B" w:rsidP="005922A1">
      <w:pPr>
        <w:pStyle w:val="EndnoteText"/>
        <w:rPr>
          <w:noProof/>
          <w:color w:val="0000FF"/>
        </w:rPr>
      </w:pPr>
      <w:r w:rsidRPr="000C016C">
        <w:rPr>
          <w:noProof/>
          <w:color w:val="0000FF"/>
        </w:rPr>
        <w:t>Hanlon, J.T., Handler, S.M., and Castle, N.G.: Antidepressant prescribing in US nursing homes between 1996 and 2006 and its relationship to staffing patterns and use of other psychotropic medications</w:t>
      </w:r>
      <w:r w:rsidR="00026658" w:rsidRPr="000C016C">
        <w:rPr>
          <w:noProof/>
          <w:color w:val="0000FF"/>
        </w:rPr>
        <w:t xml:space="preserve">.  </w:t>
      </w:r>
      <w:r w:rsidR="00EC6FE2" w:rsidRPr="000C016C">
        <w:rPr>
          <w:noProof/>
          <w:color w:val="0000FF"/>
          <w:u w:val="single"/>
        </w:rPr>
        <w:t>J Am Med Dir Assoc</w:t>
      </w:r>
      <w:r w:rsidRPr="000C016C">
        <w:rPr>
          <w:noProof/>
          <w:color w:val="0000FF"/>
        </w:rPr>
        <w:t xml:space="preserve"> 11(5):320-324, 2010.</w:t>
      </w:r>
    </w:p>
    <w:p w:rsidR="00C75603" w:rsidRPr="000C016C" w:rsidRDefault="00C75603" w:rsidP="00C75603">
      <w:pPr>
        <w:pStyle w:val="EndnoteText"/>
        <w:rPr>
          <w:noProof/>
          <w:color w:val="0000FF"/>
        </w:rPr>
      </w:pPr>
      <w:r w:rsidRPr="000C016C">
        <w:rPr>
          <w:noProof/>
          <w:color w:val="0000FF"/>
        </w:rPr>
        <w:t xml:space="preserve">Huybrechts, K.F., Rothman, K.J., Brookhart, M.A., et al.: Variation in antipsychotic treatment choice across US nursing homes.  </w:t>
      </w:r>
      <w:r w:rsidRPr="000C016C">
        <w:rPr>
          <w:noProof/>
          <w:color w:val="0000FF"/>
          <w:u w:val="single"/>
        </w:rPr>
        <w:t>J Clin Psychopharm</w:t>
      </w:r>
      <w:r w:rsidRPr="000C016C">
        <w:rPr>
          <w:noProof/>
          <w:color w:val="0000FF"/>
        </w:rPr>
        <w:t xml:space="preserve"> 32(1):11-17, 2012.</w:t>
      </w:r>
    </w:p>
    <w:p w:rsidR="00A459C2" w:rsidRPr="000C016C" w:rsidRDefault="00A459C2" w:rsidP="005922A1">
      <w:pPr>
        <w:pStyle w:val="EndnoteText"/>
        <w:rPr>
          <w:noProof/>
          <w:color w:val="0000FF"/>
        </w:rPr>
      </w:pPr>
      <w:r w:rsidRPr="000C016C">
        <w:rPr>
          <w:noProof/>
          <w:color w:val="0000FF"/>
        </w:rPr>
        <w:t>Kamble, P., Chen, H., Sherer, J., et al.: Antipsychotic drug use among elderly nursing home residents in the United States</w:t>
      </w:r>
      <w:r w:rsidR="00026658" w:rsidRPr="000C016C">
        <w:rPr>
          <w:noProof/>
          <w:color w:val="0000FF"/>
        </w:rPr>
        <w:t xml:space="preserve">.  </w:t>
      </w:r>
      <w:r w:rsidRPr="000C016C">
        <w:rPr>
          <w:noProof/>
          <w:color w:val="0000FF"/>
          <w:u w:val="single"/>
        </w:rPr>
        <w:t>Am J Geriatr Pharmacother</w:t>
      </w:r>
      <w:r w:rsidRPr="000C016C">
        <w:rPr>
          <w:noProof/>
          <w:color w:val="0000FF"/>
        </w:rPr>
        <w:t xml:space="preserve"> 6(4):187-197, 2008.</w:t>
      </w:r>
    </w:p>
    <w:p w:rsidR="00A459C2" w:rsidRPr="000C016C" w:rsidRDefault="00A459C2" w:rsidP="005922A1">
      <w:pPr>
        <w:pStyle w:val="EndnoteText"/>
        <w:rPr>
          <w:noProof/>
          <w:color w:val="0000FF"/>
        </w:rPr>
      </w:pPr>
      <w:r w:rsidRPr="000C016C">
        <w:rPr>
          <w:noProof/>
          <w:color w:val="0000FF"/>
        </w:rPr>
        <w:t>Kamble, P., Chen, H., Sherer, J.T., et al.: Use of antipsychotics among elderly nursing home residents with dementia in the US: an analysis of National Survey Data</w:t>
      </w:r>
      <w:r w:rsidR="00026658" w:rsidRPr="000C016C">
        <w:rPr>
          <w:noProof/>
          <w:color w:val="0000FF"/>
        </w:rPr>
        <w:t xml:space="preserve">.  </w:t>
      </w:r>
      <w:r w:rsidRPr="000C016C">
        <w:rPr>
          <w:noProof/>
          <w:color w:val="0000FF"/>
          <w:u w:val="single"/>
        </w:rPr>
        <w:t>Drugs Aging</w:t>
      </w:r>
      <w:r w:rsidRPr="000C016C">
        <w:rPr>
          <w:noProof/>
          <w:color w:val="0000FF"/>
        </w:rPr>
        <w:t xml:space="preserve"> 26(6):483-492, 2009.</w:t>
      </w:r>
    </w:p>
    <w:p w:rsidR="00A459C2" w:rsidRPr="000C016C" w:rsidRDefault="00A459C2" w:rsidP="005922A1">
      <w:pPr>
        <w:pStyle w:val="EndnoteText"/>
        <w:rPr>
          <w:noProof/>
          <w:color w:val="0000FF"/>
        </w:rPr>
      </w:pPr>
      <w:r w:rsidRPr="000C016C">
        <w:rPr>
          <w:noProof/>
          <w:color w:val="0000FF"/>
        </w:rPr>
        <w:t>Kamble, P., Sherer, J., Chen, H., et al.: Off-label use of second-generation antipsychotic agents among elderly nursing home residents</w:t>
      </w:r>
      <w:r w:rsidR="00026658" w:rsidRPr="000C016C">
        <w:rPr>
          <w:noProof/>
          <w:color w:val="0000FF"/>
        </w:rPr>
        <w:t xml:space="preserve">.  </w:t>
      </w:r>
      <w:r w:rsidRPr="000C016C">
        <w:rPr>
          <w:noProof/>
          <w:color w:val="0000FF"/>
          <w:u w:val="single"/>
        </w:rPr>
        <w:t>Psychiatr Serv</w:t>
      </w:r>
      <w:r w:rsidRPr="000C016C">
        <w:rPr>
          <w:noProof/>
          <w:color w:val="0000FF"/>
        </w:rPr>
        <w:t xml:space="preserve"> 61(2):130-136, 2010</w:t>
      </w:r>
    </w:p>
    <w:p w:rsidR="00A459C2" w:rsidRPr="000C016C" w:rsidRDefault="00A459C2" w:rsidP="005922A1">
      <w:pPr>
        <w:pStyle w:val="EndnoteText"/>
        <w:rPr>
          <w:noProof/>
          <w:color w:val="0000FF"/>
        </w:rPr>
      </w:pPr>
      <w:r w:rsidRPr="000C016C">
        <w:rPr>
          <w:noProof/>
          <w:color w:val="0000FF"/>
        </w:rPr>
        <w:lastRenderedPageBreak/>
        <w:t>Kim, H., and Whall, A.L.: Factors associated with psychotropic drug usage among nursing home residents with dementia</w:t>
      </w:r>
      <w:r w:rsidR="00026658" w:rsidRPr="000C016C">
        <w:rPr>
          <w:noProof/>
          <w:color w:val="0000FF"/>
        </w:rPr>
        <w:t xml:space="preserve">.  </w:t>
      </w:r>
      <w:r w:rsidRPr="000C016C">
        <w:rPr>
          <w:noProof/>
          <w:color w:val="0000FF"/>
          <w:u w:val="single"/>
        </w:rPr>
        <w:t>Nurs Res</w:t>
      </w:r>
      <w:r w:rsidRPr="000C016C">
        <w:rPr>
          <w:noProof/>
          <w:color w:val="0000FF"/>
        </w:rPr>
        <w:t xml:space="preserve"> 55(4):252-258, 2006.</w:t>
      </w:r>
    </w:p>
    <w:p w:rsidR="00AE3D7B" w:rsidRPr="000C016C" w:rsidRDefault="00AE3D7B" w:rsidP="005922A1">
      <w:pPr>
        <w:pStyle w:val="EndnoteText"/>
        <w:rPr>
          <w:noProof/>
          <w:color w:val="0000FF"/>
        </w:rPr>
      </w:pPr>
      <w:r w:rsidRPr="000C016C">
        <w:rPr>
          <w:noProof/>
          <w:color w:val="0000FF"/>
        </w:rPr>
        <w:t>Mor, V., Zinn, J., Angelelli, J., et al.: Driven to tiers: socioeconomic and racial disparities in the quality of nursing home care</w:t>
      </w:r>
      <w:r w:rsidR="00026658" w:rsidRPr="000C016C">
        <w:rPr>
          <w:noProof/>
          <w:color w:val="0000FF"/>
        </w:rPr>
        <w:t xml:space="preserve">.  </w:t>
      </w:r>
      <w:r w:rsidRPr="000C016C">
        <w:rPr>
          <w:noProof/>
          <w:color w:val="0000FF"/>
          <w:u w:val="single"/>
        </w:rPr>
        <w:t>Milbank Q</w:t>
      </w:r>
      <w:r w:rsidRPr="000C016C">
        <w:rPr>
          <w:noProof/>
          <w:color w:val="0000FF"/>
        </w:rPr>
        <w:t xml:space="preserve"> 82(2):227-256, 2004.</w:t>
      </w:r>
    </w:p>
    <w:p w:rsidR="00AE3D7B" w:rsidRPr="000C016C" w:rsidRDefault="00AE3D7B" w:rsidP="005922A1">
      <w:pPr>
        <w:pStyle w:val="EndnoteText"/>
        <w:rPr>
          <w:noProof/>
          <w:color w:val="0000FF"/>
        </w:rPr>
      </w:pPr>
      <w:r w:rsidRPr="000C016C">
        <w:rPr>
          <w:noProof/>
          <w:color w:val="0000FF"/>
        </w:rPr>
        <w:t>Rosack, J.: FDA orders new warning on atypical antipsychotics</w:t>
      </w:r>
      <w:r w:rsidR="00026658" w:rsidRPr="000C016C">
        <w:rPr>
          <w:noProof/>
          <w:color w:val="0000FF"/>
        </w:rPr>
        <w:t xml:space="preserve">.  </w:t>
      </w:r>
      <w:r w:rsidRPr="000C016C">
        <w:rPr>
          <w:noProof/>
          <w:color w:val="0000FF"/>
          <w:u w:val="single"/>
        </w:rPr>
        <w:t xml:space="preserve">Psychiatr News </w:t>
      </w:r>
      <w:r w:rsidRPr="000C016C">
        <w:rPr>
          <w:noProof/>
          <w:color w:val="0000FF"/>
        </w:rPr>
        <w:t>40(9):1-50, 2005.</w:t>
      </w:r>
    </w:p>
    <w:p w:rsidR="00AE3D7B" w:rsidRPr="000C016C" w:rsidRDefault="00AE3D7B" w:rsidP="005922A1">
      <w:pPr>
        <w:pStyle w:val="EndnoteText"/>
        <w:rPr>
          <w:noProof/>
          <w:color w:val="0000FF"/>
        </w:rPr>
      </w:pPr>
      <w:r w:rsidRPr="000C016C">
        <w:rPr>
          <w:noProof/>
          <w:color w:val="0000FF"/>
        </w:rPr>
        <w:t>Stevenson, D.G., Decker, S.L., Dwyer, L.L., et al.: Antipsychotic and benzodiazepine use among nursing home residents: findings from the 2004 National Nursing Home Survey</w:t>
      </w:r>
      <w:r w:rsidR="00026658" w:rsidRPr="000C016C">
        <w:rPr>
          <w:noProof/>
          <w:color w:val="0000FF"/>
        </w:rPr>
        <w:t xml:space="preserve">.  </w:t>
      </w:r>
      <w:r w:rsidRPr="000C016C">
        <w:rPr>
          <w:noProof/>
          <w:color w:val="0000FF"/>
          <w:u w:val="single"/>
        </w:rPr>
        <w:t>Am J of Geriatr Psychiatry</w:t>
      </w:r>
      <w:r w:rsidRPr="000C016C">
        <w:rPr>
          <w:noProof/>
          <w:color w:val="0000FF"/>
        </w:rPr>
        <w:t xml:space="preserve"> 18(12):1078-1092, 2010.</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Summary of data on disparities by population group</w:t>
      </w:r>
    </w:p>
    <w:p w:rsidR="007C359F" w:rsidRPr="00016073" w:rsidRDefault="007C359F" w:rsidP="00F938F7">
      <w:pPr>
        <w:pStyle w:val="Body2"/>
      </w:pPr>
      <w:r w:rsidRPr="00016073">
        <w:t>1b.4.</w:t>
      </w:r>
      <w:r w:rsidR="00155E08">
        <w:t xml:space="preserve">  </w:t>
      </w:r>
      <w:r w:rsidRPr="00016073">
        <w:t>Summarize evidence found that demonstrates any disparities</w:t>
      </w:r>
      <w:r w:rsidR="00026658">
        <w:t xml:space="preserve">.  </w:t>
      </w:r>
      <w:r w:rsidRPr="00016073">
        <w:t>Describe groups in which disparities exist.</w:t>
      </w:r>
    </w:p>
    <w:p w:rsidR="00C20DF1" w:rsidRPr="00016073" w:rsidRDefault="00C20DF1" w:rsidP="00DD02D2">
      <w:pPr>
        <w:pStyle w:val="Body"/>
      </w:pPr>
      <w:r w:rsidRPr="00016073">
        <w:t>The antipsychotic medication use rate has been found to vary by age</w:t>
      </w:r>
      <w:r w:rsidR="00026658">
        <w:t xml:space="preserve">.  </w:t>
      </w:r>
      <w:r w:rsidRPr="00016073">
        <w:t xml:space="preserve">A paper in </w:t>
      </w:r>
      <w:r w:rsidR="004158CC" w:rsidRPr="00016073">
        <w:rPr>
          <w:u w:val="single"/>
        </w:rPr>
        <w:t>Health Affairs</w:t>
      </w:r>
      <w:r w:rsidRPr="00016073">
        <w:t xml:space="preserve"> used large samples in 8 states and found that use rates were 38.1% at ages 65-74, 30.4% at ages 75-84, 22.7% at ages 85+</w:t>
      </w:r>
      <w:r w:rsidR="00026658">
        <w:t xml:space="preserve">  </w:t>
      </w:r>
      <w:r w:rsidR="00295EC6" w:rsidRPr="00016073">
        <w:t>(Crystal</w:t>
      </w:r>
      <w:r w:rsidR="00D819A4" w:rsidRPr="00016073">
        <w:t xml:space="preserve"> et al.</w:t>
      </w:r>
      <w:r w:rsidR="00295EC6" w:rsidRPr="00016073">
        <w:t>, 2009)</w:t>
      </w:r>
      <w:r w:rsidR="00DD02D2">
        <w:t>.</w:t>
      </w:r>
      <w:r w:rsidRPr="00016073">
        <w:rPr>
          <w:vertAlign w:val="superscript"/>
        </w:rPr>
        <w:t xml:space="preserve"> </w:t>
      </w:r>
      <w:r w:rsidR="00295EC6" w:rsidRPr="00016073">
        <w:t xml:space="preserve"> </w:t>
      </w:r>
      <w:r w:rsidRPr="00016073">
        <w:t xml:space="preserve">Chen </w:t>
      </w:r>
      <w:r w:rsidR="00155E08">
        <w:t>et al.</w:t>
      </w:r>
      <w:r w:rsidR="00DD02D2">
        <w:t xml:space="preserve"> (2010)</w:t>
      </w:r>
      <w:r w:rsidR="00155E08">
        <w:t xml:space="preserve"> </w:t>
      </w:r>
      <w:r w:rsidRPr="00016073">
        <w:t>used a nationwide, cross-sectional population of 16,586 newly-admitted NH residents and found age to be negatively related to antipsychotic use controlling for other resident health characteristics</w:t>
      </w:r>
      <w:r w:rsidR="00026658">
        <w:t xml:space="preserve">. </w:t>
      </w:r>
    </w:p>
    <w:p w:rsidR="00C20DF1" w:rsidRPr="00016073" w:rsidRDefault="00C20DF1" w:rsidP="00DD02D2">
      <w:pPr>
        <w:pStyle w:val="Body"/>
      </w:pPr>
      <w:r w:rsidRPr="00016073">
        <w:t>Racial disparities may also exist in antipsychotic use</w:t>
      </w:r>
      <w:r w:rsidR="00026658">
        <w:t xml:space="preserve">.  </w:t>
      </w:r>
      <w:r w:rsidRPr="00016073">
        <w:t>A study on older long-stay veteran nursing home care unit patients found no racial differences in overall antipsychotic prescribing</w:t>
      </w:r>
      <w:r w:rsidR="00026658">
        <w:t xml:space="preserve">.  </w:t>
      </w:r>
      <w:r w:rsidRPr="00016073">
        <w:t>However, white patients were more likely to receive atypical antipsychotics</w:t>
      </w:r>
      <w:r w:rsidR="00026658">
        <w:t xml:space="preserve"> </w:t>
      </w:r>
      <w:r w:rsidR="00295EC6" w:rsidRPr="00016073">
        <w:t>(Hanlon et al., 2009)</w:t>
      </w:r>
      <w:r w:rsidR="00DD02D2">
        <w:t>.</w:t>
      </w:r>
      <w:r w:rsidRPr="00016073">
        <w:t xml:space="preserve"> Chen </w:t>
      </w:r>
      <w:r w:rsidR="00155E08">
        <w:t xml:space="preserve">et al. </w:t>
      </w:r>
      <w:r w:rsidR="00DD02D2">
        <w:t xml:space="preserve">(2010) </w:t>
      </w:r>
      <w:r w:rsidRPr="00016073">
        <w:t>also identified disparities by racial groups</w:t>
      </w:r>
      <w:r w:rsidR="00026658">
        <w:t xml:space="preserve">. </w:t>
      </w:r>
    </w:p>
    <w:p w:rsidR="00C20DF1" w:rsidRPr="00016073" w:rsidRDefault="00C20DF1" w:rsidP="00DD02D2">
      <w:pPr>
        <w:pStyle w:val="Body"/>
      </w:pPr>
      <w:r w:rsidRPr="00016073">
        <w:t xml:space="preserve">The Chen </w:t>
      </w:r>
      <w:r w:rsidR="00155E08">
        <w:t xml:space="preserve">et al. </w:t>
      </w:r>
      <w:r w:rsidR="00201191">
        <w:t xml:space="preserve">(2010) </w:t>
      </w:r>
      <w:r w:rsidRPr="00016073">
        <w:t xml:space="preserve">study also identified differential antipsychotic use rates by gender, marital status, frailty, cognitive performance, behavioral problems, </w:t>
      </w:r>
      <w:r w:rsidR="00DD02D2">
        <w:t xml:space="preserve">and </w:t>
      </w:r>
      <w:r w:rsidRPr="00016073">
        <w:t>dementia</w:t>
      </w:r>
      <w:r w:rsidR="00026658">
        <w:t xml:space="preserve">.  </w:t>
      </w:r>
      <w:r w:rsidRPr="00016073">
        <w:t>Among residents with dementia, those with aggressive behavioral symptoms might be considered to have stronger indications for antipsychotic use, given potential risks to self or others associated with these behaviors; 51.2% of this group received antipsychotic medications</w:t>
      </w:r>
      <w:r w:rsidR="00026658">
        <w:t xml:space="preserve">.  </w:t>
      </w:r>
      <w:r w:rsidRPr="00016073">
        <w:t>Among those with non-aggressive behavioral symptoms, however, the treatment rate was still quite high at 39.5%</w:t>
      </w:r>
      <w:r w:rsidR="00026658">
        <w:t xml:space="preserve">.  </w:t>
      </w:r>
      <w:r w:rsidRPr="00016073">
        <w:t>Even among dementia patients without reported behavioral symptoms, 23.6% received antipsychotics</w:t>
      </w:r>
      <w:r w:rsidR="00026658">
        <w:t xml:space="preserve">.  </w:t>
      </w:r>
      <w:r w:rsidRPr="00016073">
        <w:t>Among residents for whom depression or anxiety disorders (but not dementia, schizophrenia or bipolar disorder) were reported, 16.4% received antipsychotic medications, along with 9.3% of residents with none of these diagnoses</w:t>
      </w:r>
      <w:r w:rsidR="00026658">
        <w:t xml:space="preserve"> </w:t>
      </w:r>
      <w:r w:rsidR="00331EDF" w:rsidRPr="00016073">
        <w:t>(Crystal</w:t>
      </w:r>
      <w:r w:rsidR="00D819A4" w:rsidRPr="00016073">
        <w:t xml:space="preserve"> et al.</w:t>
      </w:r>
      <w:r w:rsidR="00331EDF" w:rsidRPr="00016073">
        <w:t>, 2009)</w:t>
      </w:r>
      <w:r w:rsidR="00DD02D2">
        <w:t>.</w:t>
      </w:r>
      <w:r w:rsidRPr="00016073">
        <w:rPr>
          <w:vertAlign w:val="superscript"/>
        </w:rPr>
        <w:t xml:space="preserve"> </w:t>
      </w:r>
      <w:r w:rsidR="00C647C7" w:rsidRPr="00016073">
        <w:t xml:space="preserve"> </w:t>
      </w:r>
      <w:r w:rsidRPr="00016073">
        <w:t>Furthermore, Mor and colleagues</w:t>
      </w:r>
      <w:r w:rsidR="00DD02D2">
        <w:t xml:space="preserve"> (2004)</w:t>
      </w:r>
      <w:r w:rsidRPr="00016073">
        <w:t xml:space="preserve"> found that patients in “high” Medicaid (&gt;85%) nursing home had higher antipsychotic use</w:t>
      </w:r>
      <w:r w:rsidR="00026658">
        <w:t xml:space="preserve">. </w:t>
      </w:r>
      <w:r w:rsidRPr="00016073">
        <w:t xml:space="preserve">Earlier research studying facility characteristics (OSCAR data from 1997-1998) associated with use of antipsychotic medication, found that for-profit facilities with special care units and mental health professionals had higher use of antipsychotics; however, larger facility size, chain ownership, and higher occupancy were found to be associated with lower antipsychotic drug use (Hughes, Lapane, </w:t>
      </w:r>
      <w:r w:rsidR="00D819A4" w:rsidRPr="00016073">
        <w:t xml:space="preserve">and </w:t>
      </w:r>
      <w:r w:rsidRPr="00016073">
        <w:t>Mor, 2000)</w:t>
      </w:r>
      <w:r w:rsidR="00026658">
        <w:t xml:space="preserve">.  </w:t>
      </w:r>
      <w:r w:rsidRPr="00016073">
        <w:t xml:space="preserve">For nonprofit nursing homes, higher occupancy rates and higher ratios of nursing aides to beds were associated with lower antipsychotic use (Hughes, Lapane, </w:t>
      </w:r>
      <w:r w:rsidR="00D819A4" w:rsidRPr="00016073">
        <w:t xml:space="preserve">and </w:t>
      </w:r>
      <w:r w:rsidRPr="00016073">
        <w:t>Mor, 2000)</w:t>
      </w:r>
      <w:r w:rsidR="00026658">
        <w:t xml:space="preserve">.  </w:t>
      </w:r>
      <w:r w:rsidRPr="00016073">
        <w:t xml:space="preserve">Across all facility types, higher proportions of Medicare residents, residents with dementia, and residents with mental retardation were all associated with higher use of antipsychotic drug use (Hughes, Lapane, </w:t>
      </w:r>
      <w:r w:rsidR="00D819A4" w:rsidRPr="00016073">
        <w:t xml:space="preserve">and </w:t>
      </w:r>
      <w:r w:rsidRPr="00016073">
        <w:t>Mor, 2000)</w:t>
      </w:r>
      <w:r w:rsidR="00026658">
        <w:t xml:space="preserve">.  </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 xml:space="preserve">Citations </w:t>
      </w:r>
    </w:p>
    <w:p w:rsidR="007C359F" w:rsidRPr="00016073" w:rsidRDefault="007C359F" w:rsidP="00F938F7">
      <w:pPr>
        <w:pStyle w:val="Body2"/>
      </w:pPr>
      <w:r w:rsidRPr="00016073">
        <w:t>1b.5</w:t>
      </w:r>
      <w:r w:rsidR="00026658">
        <w:t xml:space="preserve">.  </w:t>
      </w:r>
      <w:r w:rsidRPr="00016073">
        <w:t>Provide citations for the evidence described above</w:t>
      </w:r>
    </w:p>
    <w:p w:rsidR="00AE3D7B" w:rsidRPr="000C016C" w:rsidRDefault="00AE3D7B" w:rsidP="005922A1">
      <w:pPr>
        <w:pStyle w:val="EndnoteText"/>
        <w:rPr>
          <w:noProof/>
          <w:color w:val="0000FF"/>
        </w:rPr>
      </w:pPr>
      <w:r w:rsidRPr="000C016C">
        <w:rPr>
          <w:noProof/>
          <w:color w:val="0000FF"/>
        </w:rPr>
        <w:t>Chen, Y., Briesacher, B.A., Field, T.S., et al.: Unexplained variation across US nursing homes in antipsychotic prescribing rates</w:t>
      </w:r>
      <w:r w:rsidR="00026658" w:rsidRPr="000C016C">
        <w:rPr>
          <w:noProof/>
          <w:color w:val="0000FF"/>
        </w:rPr>
        <w:t xml:space="preserve">.  </w:t>
      </w:r>
      <w:r w:rsidRPr="000C016C">
        <w:rPr>
          <w:noProof/>
          <w:color w:val="0000FF"/>
          <w:u w:val="single"/>
        </w:rPr>
        <w:t>Arch Intern Med</w:t>
      </w:r>
      <w:r w:rsidRPr="000C016C">
        <w:rPr>
          <w:noProof/>
          <w:color w:val="0000FF"/>
        </w:rPr>
        <w:t xml:space="preserve"> 170(1):89-95, 2010.</w:t>
      </w:r>
    </w:p>
    <w:p w:rsidR="00AE3D7B" w:rsidRPr="000C016C" w:rsidRDefault="00AE3D7B" w:rsidP="005922A1">
      <w:pPr>
        <w:pStyle w:val="EndnoteText"/>
        <w:rPr>
          <w:noProof/>
          <w:color w:val="0000FF"/>
        </w:rPr>
      </w:pPr>
      <w:r w:rsidRPr="000C016C">
        <w:rPr>
          <w:noProof/>
          <w:color w:val="0000FF"/>
        </w:rPr>
        <w:t>Crystal, S., Olfson, M., Huang, C., et al.: Broadened use of atypical antipsychotics: safety, effectiveness, and policy challenges</w:t>
      </w:r>
      <w:r w:rsidR="00026658" w:rsidRPr="000C016C">
        <w:rPr>
          <w:noProof/>
          <w:color w:val="0000FF"/>
        </w:rPr>
        <w:t xml:space="preserve">.  </w:t>
      </w:r>
      <w:r w:rsidRPr="000C016C">
        <w:rPr>
          <w:noProof/>
          <w:color w:val="0000FF"/>
          <w:u w:val="single"/>
        </w:rPr>
        <w:t>Health Aff (Millwood)</w:t>
      </w:r>
      <w:r w:rsidRPr="000C016C">
        <w:rPr>
          <w:noProof/>
          <w:color w:val="0000FF"/>
        </w:rPr>
        <w:t xml:space="preserve"> 28(5):w770-781, 2009.</w:t>
      </w:r>
    </w:p>
    <w:p w:rsidR="00AE3D7B" w:rsidRPr="000C016C" w:rsidRDefault="00AE3D7B" w:rsidP="005922A1">
      <w:pPr>
        <w:pStyle w:val="EndnoteText"/>
        <w:rPr>
          <w:noProof/>
          <w:color w:val="0000FF"/>
        </w:rPr>
      </w:pPr>
      <w:r w:rsidRPr="000C016C">
        <w:rPr>
          <w:noProof/>
          <w:color w:val="0000FF"/>
        </w:rPr>
        <w:t>Hanlon, J.T., Wang, X., Good, C.B., et al.: Racial differences in medication use among older, long-stay Veterans Affairs nursing home care unit patients</w:t>
      </w:r>
      <w:r w:rsidR="00026658" w:rsidRPr="000C016C">
        <w:rPr>
          <w:noProof/>
          <w:color w:val="0000FF"/>
        </w:rPr>
        <w:t xml:space="preserve">.  </w:t>
      </w:r>
      <w:r w:rsidRPr="000C016C">
        <w:rPr>
          <w:noProof/>
          <w:color w:val="0000FF"/>
          <w:u w:val="single"/>
        </w:rPr>
        <w:t>Consult Pharm</w:t>
      </w:r>
      <w:r w:rsidRPr="000C016C">
        <w:rPr>
          <w:noProof/>
          <w:color w:val="0000FF"/>
        </w:rPr>
        <w:t xml:space="preserve"> 24(6):439-446, 2009.</w:t>
      </w:r>
    </w:p>
    <w:p w:rsidR="00AE3D7B" w:rsidRPr="000C016C" w:rsidRDefault="00D819A4" w:rsidP="005922A1">
      <w:pPr>
        <w:pStyle w:val="EndnoteText"/>
        <w:rPr>
          <w:noProof/>
          <w:color w:val="0000FF"/>
        </w:rPr>
      </w:pPr>
      <w:r w:rsidRPr="000C016C">
        <w:rPr>
          <w:noProof/>
          <w:color w:val="0000FF"/>
        </w:rPr>
        <w:lastRenderedPageBreak/>
        <w:t>Hughes, C.M., Lapane, K.L., and Mor, V.: Influence of facility characteristics on use of antipsychotic medications in nursing homes</w:t>
      </w:r>
      <w:r w:rsidR="00026658" w:rsidRPr="000C016C">
        <w:rPr>
          <w:noProof/>
          <w:color w:val="0000FF"/>
        </w:rPr>
        <w:t xml:space="preserve">.  </w:t>
      </w:r>
      <w:r w:rsidRPr="000C016C">
        <w:rPr>
          <w:noProof/>
          <w:color w:val="0000FF"/>
          <w:u w:val="single"/>
        </w:rPr>
        <w:t>Med Care</w:t>
      </w:r>
      <w:r w:rsidRPr="000C016C">
        <w:rPr>
          <w:noProof/>
          <w:color w:val="0000FF"/>
        </w:rPr>
        <w:t xml:space="preserve"> 38(12):1164-1173, 2000</w:t>
      </w:r>
    </w:p>
    <w:p w:rsidR="00AE3D7B" w:rsidRPr="00016073" w:rsidRDefault="00AE3D7B" w:rsidP="005922A1">
      <w:pPr>
        <w:pStyle w:val="EndnoteText"/>
        <w:rPr>
          <w:noProof/>
        </w:rPr>
      </w:pPr>
      <w:r w:rsidRPr="000C016C">
        <w:rPr>
          <w:noProof/>
          <w:color w:val="0000FF"/>
        </w:rPr>
        <w:t>Mor, V., Zinn, J., Angelelli, J., et al.: Driven to tiers: Socioeconomic and racial disparities in the quality of nursing home care</w:t>
      </w:r>
      <w:r w:rsidR="00026658" w:rsidRPr="000C016C">
        <w:rPr>
          <w:noProof/>
          <w:color w:val="0000FF"/>
        </w:rPr>
        <w:t xml:space="preserve">.  </w:t>
      </w:r>
      <w:r w:rsidRPr="000C016C">
        <w:rPr>
          <w:noProof/>
          <w:color w:val="0000FF"/>
          <w:u w:val="single"/>
        </w:rPr>
        <w:t>Milbank Q</w:t>
      </w:r>
      <w:r w:rsidRPr="000C016C">
        <w:rPr>
          <w:noProof/>
          <w:color w:val="0000FF"/>
        </w:rPr>
        <w:t xml:space="preserve"> 82(2):227-256, 2004.</w:t>
      </w:r>
    </w:p>
    <w:p w:rsidR="007C359F" w:rsidRPr="00016073" w:rsidRDefault="007C359F" w:rsidP="00E81F46">
      <w:pPr>
        <w:pStyle w:val="ListParagraph"/>
        <w:keepNext/>
        <w:keepLines/>
        <w:numPr>
          <w:ilvl w:val="0"/>
          <w:numId w:val="9"/>
        </w:numPr>
        <w:spacing w:before="200" w:after="0" w:line="276" w:lineRule="auto"/>
        <w:outlineLvl w:val="1"/>
        <w:rPr>
          <w:rFonts w:asciiTheme="majorHAnsi" w:eastAsiaTheme="majorEastAsia" w:hAnsiTheme="majorHAnsi" w:cstheme="minorHAnsi"/>
          <w:b/>
          <w:bCs/>
          <w:i/>
          <w:szCs w:val="20"/>
        </w:rPr>
      </w:pPr>
      <w:r w:rsidRPr="00016073">
        <w:rPr>
          <w:rFonts w:asciiTheme="majorHAnsi" w:eastAsiaTheme="majorEastAsia" w:hAnsiTheme="majorHAnsi" w:cstheme="minorHAnsi"/>
          <w:b/>
          <w:bCs/>
          <w:i/>
          <w:szCs w:val="20"/>
        </w:rPr>
        <w:t>Evidence to Support Measure Focus</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Structure-process-outcome relationship</w:t>
      </w:r>
    </w:p>
    <w:p w:rsidR="007C359F" w:rsidRPr="00016073" w:rsidRDefault="007C359F" w:rsidP="00F938F7">
      <w:pPr>
        <w:pStyle w:val="Body2"/>
      </w:pPr>
      <w:r w:rsidRPr="00016073">
        <w:t>1c.1</w:t>
      </w:r>
      <w:r w:rsidR="00026658">
        <w:t xml:space="preserve">.  </w:t>
      </w:r>
      <w:r w:rsidRPr="00016073">
        <w:t xml:space="preserve">Briefly state the measure focus </w:t>
      </w:r>
      <w:r w:rsidR="009D1B01" w:rsidRPr="00016073">
        <w:t>(</w:t>
      </w:r>
      <w:r w:rsidR="003B5EB5" w:rsidRPr="00016073">
        <w:t>for example</w:t>
      </w:r>
      <w:r w:rsidRPr="00016073">
        <w:t xml:space="preserve">, health outcome, intermediate clinical outcome, process, structure) Then, identify the appropriate links </w:t>
      </w:r>
      <w:r w:rsidR="009D1B01" w:rsidRPr="00016073">
        <w:t>(</w:t>
      </w:r>
      <w:r w:rsidR="003B5EB5" w:rsidRPr="00016073">
        <w:t>for example</w:t>
      </w:r>
      <w:r w:rsidRPr="00016073">
        <w:t>, structure-process-health outcome, process-health outcome, intermediate clinical outcome-health outcome)</w:t>
      </w:r>
    </w:p>
    <w:p w:rsidR="00CA3ED0" w:rsidRPr="00016073" w:rsidRDefault="00CA3ED0" w:rsidP="004E2B0D">
      <w:pPr>
        <w:pStyle w:val="Body"/>
        <w:rPr>
          <w:rFonts w:eastAsiaTheme="minorHAnsi" w:cstheme="minorHAnsi"/>
          <w:i/>
        </w:rPr>
      </w:pPr>
      <w:r w:rsidRPr="00016073">
        <w:t>This measure focuses on care process and it links to health outcomes such as mortality, serious adverse events (including falls, somnolence and abnormal gait) and quality of life.</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Type of evidence</w:t>
      </w:r>
    </w:p>
    <w:p w:rsidR="007C359F" w:rsidRPr="00A64C6A" w:rsidRDefault="007C359F" w:rsidP="00A64C6A">
      <w:pPr>
        <w:pStyle w:val="ListParagraph2"/>
      </w:pPr>
      <w:r w:rsidRPr="00A64C6A">
        <w:t>1c.2</w:t>
      </w:r>
      <w:r w:rsidR="00026658">
        <w:t xml:space="preserve">.  </w:t>
      </w:r>
      <w:r w:rsidRPr="00A64C6A">
        <w:t>Describe the type of evidence, selecting from the following list</w:t>
      </w:r>
      <w:r w:rsidR="006D487D" w:rsidRPr="00A64C6A">
        <w:t xml:space="preserve"> </w:t>
      </w:r>
      <w:r w:rsidRPr="00A64C6A">
        <w:t>all that apply: Clinical practice guideline</w:t>
      </w:r>
    </w:p>
    <w:p w:rsidR="007C359F" w:rsidRPr="00A64C6A" w:rsidRDefault="007C359F" w:rsidP="00A64C6A">
      <w:pPr>
        <w:pStyle w:val="ListParagraph2"/>
      </w:pPr>
      <w:r w:rsidRPr="00A64C6A">
        <w:t>Selected individual studies (rather than entire body of evidence)</w:t>
      </w:r>
    </w:p>
    <w:p w:rsidR="007C359F" w:rsidRPr="00A64C6A" w:rsidRDefault="007C359F" w:rsidP="00A64C6A">
      <w:pPr>
        <w:pStyle w:val="ListParagraph2"/>
      </w:pPr>
      <w:r w:rsidRPr="00A64C6A">
        <w:t>Systematic review of body of evidence (other than within guideline development)</w:t>
      </w:r>
    </w:p>
    <w:p w:rsidR="007C359F" w:rsidRPr="00A64C6A" w:rsidRDefault="007C359F" w:rsidP="00A64C6A">
      <w:pPr>
        <w:pStyle w:val="ListParagraph2"/>
      </w:pPr>
      <w:r w:rsidRPr="00A64C6A">
        <w:t>Other (state type of evidence)</w:t>
      </w:r>
    </w:p>
    <w:p w:rsidR="00CA3ED0" w:rsidRPr="00A64C6A" w:rsidRDefault="00CA3ED0" w:rsidP="00F938F7">
      <w:pPr>
        <w:pStyle w:val="ListBullet2"/>
        <w:ind w:left="1800"/>
      </w:pPr>
      <w:r w:rsidRPr="00A64C6A">
        <w:t>Clinical practice guideline</w:t>
      </w:r>
    </w:p>
    <w:p w:rsidR="00CA3ED0" w:rsidRPr="00A64C6A" w:rsidRDefault="00CA3ED0" w:rsidP="00F938F7">
      <w:pPr>
        <w:pStyle w:val="ListBullet2"/>
        <w:ind w:left="1800"/>
      </w:pPr>
      <w:r w:rsidRPr="00A64C6A">
        <w:t>Clinical trials</w:t>
      </w:r>
    </w:p>
    <w:p w:rsidR="00CA3ED0" w:rsidRPr="00A64C6A" w:rsidRDefault="00CA3ED0" w:rsidP="00F938F7">
      <w:pPr>
        <w:pStyle w:val="ListBullet2"/>
        <w:ind w:left="1800"/>
      </w:pPr>
      <w:r w:rsidRPr="00A64C6A">
        <w:t>Observational studies</w:t>
      </w:r>
    </w:p>
    <w:p w:rsidR="00CA3ED0" w:rsidRPr="00A64C6A" w:rsidRDefault="00CA3ED0" w:rsidP="00F938F7">
      <w:pPr>
        <w:pStyle w:val="ListBullet2"/>
        <w:ind w:left="1800"/>
      </w:pPr>
      <w:r w:rsidRPr="00A64C6A">
        <w:t>Systematic literature review</w:t>
      </w:r>
    </w:p>
    <w:p w:rsidR="007C359F" w:rsidRPr="00016073" w:rsidRDefault="007C359F" w:rsidP="00E81F46">
      <w:pPr>
        <w:pStyle w:val="ListParagraph"/>
        <w:keepNext/>
        <w:keepLines/>
        <w:numPr>
          <w:ilvl w:val="0"/>
          <w:numId w:val="10"/>
        </w:numPr>
        <w:spacing w:before="240" w:after="0" w:line="276" w:lineRule="auto"/>
        <w:contextualSpacing w:val="0"/>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Directness of evidence to the specified measure</w:t>
      </w:r>
    </w:p>
    <w:p w:rsidR="007C359F" w:rsidRPr="00016073" w:rsidRDefault="007C359F" w:rsidP="00F938F7">
      <w:pPr>
        <w:pStyle w:val="Body2"/>
      </w:pPr>
      <w:r w:rsidRPr="00016073">
        <w:t>1c.4</w:t>
      </w:r>
      <w:r w:rsidR="00026658">
        <w:t xml:space="preserve">.  </w:t>
      </w:r>
      <w:r w:rsidRPr="00016073">
        <w:t>State the central topic, population, and outcomes addressed in the body of evidence and identify any differences from the measure focus and measure target population.</w:t>
      </w:r>
    </w:p>
    <w:p w:rsidR="00E74FB9" w:rsidRPr="00016073" w:rsidRDefault="00E74FB9" w:rsidP="004E2B0D">
      <w:pPr>
        <w:pStyle w:val="Body"/>
      </w:pPr>
      <w:r w:rsidRPr="00016073">
        <w:t>FDA’s black box warnings were issued based on evidence from meta-analysis of clinical trials in elderly with dementia</w:t>
      </w:r>
      <w:r w:rsidR="00026658">
        <w:t xml:space="preserve">.  </w:t>
      </w:r>
      <w:r w:rsidRPr="00016073">
        <w:t>Although the research was not specifically done in nursing homes, a large proportion of nursing home residents are elderly with cognitively impaired among whom antipsychotic medication use is prevalent</w:t>
      </w:r>
      <w:r w:rsidR="00026658">
        <w:t xml:space="preserve">.  </w:t>
      </w:r>
      <w:r w:rsidRPr="00016073">
        <w:t>CMS’s state operations manual, which provides guidance to surveyors to enforce nursing homes to practice in concordance with practice guidelines</w:t>
      </w:r>
      <w:r w:rsidR="00C647C7" w:rsidRPr="00016073">
        <w:t xml:space="preserve"> (CMS, year)</w:t>
      </w:r>
      <w:r w:rsidRPr="00016073">
        <w:t xml:space="preserve"> (</w:t>
      </w:r>
      <w:hyperlink r:id="rId17" w:history="1">
        <w:r w:rsidRPr="00016073">
          <w:rPr>
            <w:rStyle w:val="Hyperlink"/>
          </w:rPr>
          <w:t>http://www.cms.gov/manuals/downloads/som107ap_pp_guidelines_ltcf.pdf</w:t>
        </w:r>
      </w:hyperlink>
      <w:r w:rsidRPr="00016073">
        <w:t>) specifically targets nursing home residents</w:t>
      </w:r>
      <w:r w:rsidR="00026658">
        <w:t xml:space="preserve">.  </w:t>
      </w:r>
      <w:r w:rsidRPr="00016073">
        <w:t>The observations studies cited throughout this form also focus on nursing home residents.</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Quantity of studies in the body of evidence</w:t>
      </w:r>
    </w:p>
    <w:p w:rsidR="007C359F" w:rsidRPr="00016073" w:rsidRDefault="007C359F" w:rsidP="00F938F7">
      <w:pPr>
        <w:pStyle w:val="Body2"/>
      </w:pPr>
      <w:r w:rsidRPr="00016073">
        <w:t>1c.5</w:t>
      </w:r>
      <w:r w:rsidR="00026658">
        <w:t xml:space="preserve">.  </w:t>
      </w:r>
      <w:r w:rsidRPr="00016073">
        <w:t>Total number of studies, not articles</w:t>
      </w:r>
    </w:p>
    <w:p w:rsidR="00E74FB9" w:rsidRPr="00016073" w:rsidRDefault="00E74FB9" w:rsidP="004E2B0D">
      <w:pPr>
        <w:pStyle w:val="Body"/>
        <w:rPr>
          <w:rFonts w:eastAsiaTheme="minorHAnsi" w:cstheme="minorHAnsi"/>
          <w:i/>
        </w:rPr>
      </w:pPr>
      <w:r w:rsidRPr="00016073">
        <w:t>The FDA boxed warnings were based on 17 placebo-controlled trials</w:t>
      </w:r>
      <w:r w:rsidR="00026658">
        <w:t xml:space="preserve">.  </w:t>
      </w:r>
      <w:r w:rsidRPr="00016073">
        <w:t xml:space="preserve">In addition, </w:t>
      </w:r>
      <w:r w:rsidR="00235031" w:rsidRPr="00016073">
        <w:t>less than fifteen a</w:t>
      </w:r>
      <w:r w:rsidRPr="00016073">
        <w:t>dditional studies were identified.</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Quality of body of evidence</w:t>
      </w:r>
    </w:p>
    <w:p w:rsidR="007C359F" w:rsidRPr="00016073" w:rsidRDefault="007C359F" w:rsidP="00F938F7">
      <w:pPr>
        <w:pStyle w:val="Body2"/>
      </w:pPr>
      <w:r w:rsidRPr="00016073">
        <w:t>1c.6</w:t>
      </w:r>
      <w:r w:rsidR="00026658">
        <w:t xml:space="preserve">.  </w:t>
      </w:r>
      <w:r w:rsidRPr="00016073">
        <w:t>Summarize the certainty or confidence in the estimates of benefits and harms to patients across studies in the body of evidence resulting from study factors</w:t>
      </w:r>
      <w:r w:rsidR="00026658">
        <w:t xml:space="preserve">.  </w:t>
      </w:r>
      <w:r w:rsidRPr="00016073">
        <w:t xml:space="preserve">Please address: </w:t>
      </w:r>
    </w:p>
    <w:p w:rsidR="007C359F" w:rsidRPr="00016073" w:rsidRDefault="007C359F" w:rsidP="00026658">
      <w:pPr>
        <w:pStyle w:val="List2"/>
        <w:keepNext/>
      </w:pPr>
      <w:r w:rsidRPr="00016073">
        <w:lastRenderedPageBreak/>
        <w:t>Study design/flaws</w:t>
      </w:r>
    </w:p>
    <w:p w:rsidR="00850058" w:rsidRPr="00016073" w:rsidRDefault="00850058" w:rsidP="004E2B0D">
      <w:pPr>
        <w:pStyle w:val="Body"/>
      </w:pPr>
      <w:r w:rsidRPr="00016073">
        <w:t>The body of evidence was generated from studies using various designs and datasets, e.g</w:t>
      </w:r>
      <w:r w:rsidR="00026658">
        <w:t xml:space="preserve">.  </w:t>
      </w:r>
      <w:r w:rsidRPr="00016073">
        <w:t>randomized controlled trials (RCT) and observational studies</w:t>
      </w:r>
      <w:r w:rsidR="00026658">
        <w:t xml:space="preserve">.  </w:t>
      </w:r>
      <w:r w:rsidRPr="00016073">
        <w:t>Although RCTs remain the gold standard for evidence of efficacy/adverse effects of treatment, nursing home residents are rarely included in RCTs, which limits the generalizability of the results from RCTs to nursing home residents</w:t>
      </w:r>
      <w:r w:rsidR="00026658">
        <w:t xml:space="preserve">.  </w:t>
      </w:r>
      <w:r w:rsidRPr="00016073">
        <w:t>Evidence from the identified observations studies directly addressed nursing home population</w:t>
      </w:r>
      <w:r w:rsidR="00026658">
        <w:t xml:space="preserve">.  </w:t>
      </w:r>
    </w:p>
    <w:p w:rsidR="007C359F" w:rsidRPr="00016073" w:rsidRDefault="007C359F" w:rsidP="00A64C6A">
      <w:pPr>
        <w:pStyle w:val="List2"/>
      </w:pPr>
      <w:r w:rsidRPr="00016073">
        <w:t>Directness/indirectness of the evidence to this measure (</w:t>
      </w:r>
      <w:r w:rsidR="003B5EB5" w:rsidRPr="00016073">
        <w:t>for example</w:t>
      </w:r>
      <w:r w:rsidRPr="00016073">
        <w:t xml:space="preserve">, interventions, comparisons, outcomes assessed, population included in the evidence) </w:t>
      </w:r>
    </w:p>
    <w:p w:rsidR="007C359F" w:rsidRPr="00016073" w:rsidRDefault="007C359F" w:rsidP="00A64C6A">
      <w:pPr>
        <w:pStyle w:val="List2"/>
        <w:rPr>
          <w:rFonts w:eastAsiaTheme="minorHAnsi"/>
        </w:rPr>
      </w:pPr>
      <w:r w:rsidRPr="00016073">
        <w:rPr>
          <w:rFonts w:eastAsiaTheme="minorHAnsi"/>
        </w:rPr>
        <w:t>Imprecision/wide confidence intervals due to few patients or events)</w:t>
      </w:r>
    </w:p>
    <w:p w:rsidR="00850058" w:rsidRPr="00016073" w:rsidRDefault="00850058" w:rsidP="004E2B0D">
      <w:pPr>
        <w:pStyle w:val="Body"/>
      </w:pPr>
      <w:r w:rsidRPr="00016073">
        <w:t>The evidence is directly relevant to this measure, as the intervention or measures in identified studies are antipsychotic medications</w:t>
      </w:r>
      <w:r w:rsidR="00026658">
        <w:t xml:space="preserve">.  </w:t>
      </w:r>
      <w:r w:rsidRPr="00016073">
        <w:t>The populations assessed are elderly population with or without dementia, which largely overlaps the target population for this measure</w:t>
      </w:r>
      <w:r w:rsidR="00026658">
        <w:t xml:space="preserve">.  </w:t>
      </w:r>
      <w:r w:rsidRPr="00016073">
        <w:t>Many studies focused exactly on nursing home residents.</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Consistency of results across studies</w:t>
      </w:r>
    </w:p>
    <w:p w:rsidR="007C359F" w:rsidRPr="00016073" w:rsidRDefault="007C359F" w:rsidP="00F938F7">
      <w:pPr>
        <w:pStyle w:val="Body2"/>
      </w:pPr>
      <w:r w:rsidRPr="00016073">
        <w:t>1c7</w:t>
      </w:r>
      <w:r w:rsidR="00026658">
        <w:t xml:space="preserve">.  </w:t>
      </w:r>
      <w:r w:rsidRPr="00016073">
        <w:t>Summarize the consistency of the magnitude and direction of the effect across studies</w:t>
      </w:r>
    </w:p>
    <w:p w:rsidR="00850058" w:rsidRPr="00016073" w:rsidRDefault="00850058" w:rsidP="004E2B0D">
      <w:pPr>
        <w:pStyle w:val="Body"/>
        <w:rPr>
          <w:i/>
        </w:rPr>
      </w:pPr>
      <w:r w:rsidRPr="00016073">
        <w:t>No contradictory evidence has been identified.</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Net benefit</w:t>
      </w:r>
    </w:p>
    <w:p w:rsidR="007C359F" w:rsidRPr="00016073" w:rsidRDefault="007C359F" w:rsidP="00A64C6A">
      <w:pPr>
        <w:pStyle w:val="Body2"/>
      </w:pPr>
      <w:r w:rsidRPr="00016073">
        <w:t>1c8</w:t>
      </w:r>
      <w:r w:rsidR="00026658">
        <w:t xml:space="preserve">.  </w:t>
      </w:r>
      <w:r w:rsidRPr="00016073">
        <w:t>Provide estimates of effect for benefit/outcome, identify harms addressed and estimates of effect, and net benefit---benefit over harms across studies</w:t>
      </w:r>
      <w:r w:rsidR="00026658">
        <w:t xml:space="preserve">.  </w:t>
      </w:r>
      <w:r w:rsidRPr="00016073">
        <w:t>Please include results of business/social/economic case for the measure.</w:t>
      </w:r>
    </w:p>
    <w:p w:rsidR="00850058" w:rsidRPr="00016073" w:rsidRDefault="000C0B9F" w:rsidP="004E2B0D">
      <w:pPr>
        <w:pStyle w:val="Body"/>
        <w:rPr>
          <w:rFonts w:eastAsiaTheme="minorHAnsi" w:cstheme="minorHAnsi"/>
          <w:i/>
        </w:rPr>
      </w:pPr>
      <w:r w:rsidRPr="00016073">
        <w:t>This measure is intended to encourage nursing facilities to focus on this important aspect of clinical care and to prescribe antipsychotic medications in the way consistent with the clinical guidelines, evidence and recommendations</w:t>
      </w:r>
      <w:r w:rsidR="00026658">
        <w:t xml:space="preserve">.  </w:t>
      </w:r>
      <w:r w:rsidRPr="00016073">
        <w:t>Facilities can achieve this goal by re-assessing the necessity of continuing antipsychotic medications among residents currently receiving them and more carefully examining the necessity of receiving antipsychotic medications among residents without indication of psychotic or related conditions.</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Grading of strength/quality of the body of evidence</w:t>
      </w:r>
    </w:p>
    <w:p w:rsidR="007C359F" w:rsidRPr="00016073" w:rsidRDefault="007C359F" w:rsidP="007C359F">
      <w:pPr>
        <w:spacing w:before="0" w:after="0" w:line="276" w:lineRule="auto"/>
        <w:ind w:left="720"/>
        <w:rPr>
          <w:rFonts w:asciiTheme="minorHAnsi" w:hAnsiTheme="minorHAnsi" w:cstheme="minorHAnsi"/>
          <w:sz w:val="20"/>
          <w:szCs w:val="20"/>
        </w:rPr>
      </w:pPr>
      <w:r w:rsidRPr="00016073">
        <w:rPr>
          <w:rFonts w:asciiTheme="minorHAnsi" w:eastAsiaTheme="minorHAnsi" w:hAnsiTheme="minorHAnsi" w:cstheme="minorHAnsi"/>
          <w:bCs/>
          <w:i/>
          <w:sz w:val="20"/>
          <w:szCs w:val="20"/>
        </w:rPr>
        <w:t>1c9, 1c10</w:t>
      </w:r>
      <w:r w:rsidR="00026658">
        <w:rPr>
          <w:rFonts w:asciiTheme="minorHAnsi" w:eastAsiaTheme="minorHAnsi" w:hAnsiTheme="minorHAnsi" w:cstheme="minorHAnsi"/>
          <w:bCs/>
          <w:i/>
          <w:sz w:val="20"/>
          <w:szCs w:val="20"/>
        </w:rPr>
        <w:t xml:space="preserve">.  </w:t>
      </w:r>
      <w:r w:rsidRPr="00016073">
        <w:rPr>
          <w:rFonts w:asciiTheme="minorHAnsi" w:eastAsiaTheme="minorHAnsi" w:hAnsiTheme="minorHAnsi" w:cstheme="minorHAnsi"/>
          <w:bCs/>
          <w:i/>
          <w:sz w:val="20"/>
          <w:szCs w:val="20"/>
        </w:rPr>
        <w:t>1c11, 1c13, 1c14</w:t>
      </w:r>
      <w:r w:rsidR="00026658">
        <w:rPr>
          <w:rFonts w:asciiTheme="minorHAnsi" w:eastAsiaTheme="minorHAnsi" w:hAnsiTheme="minorHAnsi" w:cstheme="minorHAnsi"/>
          <w:bCs/>
          <w:i/>
          <w:sz w:val="20"/>
          <w:szCs w:val="20"/>
        </w:rPr>
        <w:t xml:space="preserve">.  </w:t>
      </w:r>
      <w:r w:rsidRPr="00016073">
        <w:rPr>
          <w:rFonts w:asciiTheme="minorHAnsi" w:eastAsiaTheme="minorHAnsi" w:hAnsiTheme="minorHAnsi" w:cstheme="minorHAnsi"/>
          <w:bCs/>
          <w:i/>
          <w:sz w:val="20"/>
          <w:szCs w:val="20"/>
        </w:rPr>
        <w:t>Please address:</w:t>
      </w:r>
    </w:p>
    <w:p w:rsidR="007C359F" w:rsidRPr="00016073" w:rsidRDefault="007C359F" w:rsidP="00E81F46">
      <w:pPr>
        <w:numPr>
          <w:ilvl w:val="0"/>
          <w:numId w:val="7"/>
        </w:numPr>
        <w:spacing w:before="0" w:after="0" w:line="276" w:lineRule="auto"/>
        <w:ind w:left="1440"/>
        <w:contextualSpacing/>
        <w:rPr>
          <w:rFonts w:asciiTheme="minorHAnsi" w:eastAsia="Times New Roman" w:hAnsiTheme="minorHAnsi" w:cstheme="minorHAnsi"/>
          <w:bCs/>
          <w:i/>
          <w:sz w:val="20"/>
          <w:szCs w:val="20"/>
        </w:rPr>
      </w:pPr>
      <w:r w:rsidRPr="00016073">
        <w:rPr>
          <w:rFonts w:asciiTheme="minorHAnsi" w:eastAsia="Times New Roman" w:hAnsiTheme="minorHAnsi" w:cstheme="minorHAnsi"/>
          <w:bCs/>
          <w:i/>
          <w:sz w:val="20"/>
          <w:szCs w:val="20"/>
        </w:rPr>
        <w:t xml:space="preserve">Indicate if the body of evidence has been graded </w:t>
      </w:r>
    </w:p>
    <w:p w:rsidR="007C359F" w:rsidRPr="00016073" w:rsidRDefault="007C359F" w:rsidP="00E81F46">
      <w:pPr>
        <w:numPr>
          <w:ilvl w:val="0"/>
          <w:numId w:val="7"/>
        </w:numPr>
        <w:spacing w:before="0" w:after="0" w:line="276" w:lineRule="auto"/>
        <w:ind w:left="1440"/>
        <w:contextualSpacing/>
        <w:rPr>
          <w:rFonts w:asciiTheme="minorHAnsi" w:eastAsia="Times New Roman" w:hAnsiTheme="minorHAnsi" w:cstheme="minorHAnsi"/>
          <w:bCs/>
          <w:i/>
          <w:sz w:val="20"/>
          <w:szCs w:val="20"/>
        </w:rPr>
      </w:pPr>
      <w:r w:rsidRPr="00016073">
        <w:rPr>
          <w:rFonts w:asciiTheme="minorHAnsi" w:eastAsia="Times New Roman" w:hAnsiTheme="minorHAnsi" w:cstheme="minorHAnsi"/>
          <w:bCs/>
          <w:i/>
          <w:sz w:val="20"/>
          <w:szCs w:val="20"/>
        </w:rPr>
        <w:t>If the body of evidence was graded, identify the entity that graded the evidence including balance of representation and any disclosures regarding bias</w:t>
      </w:r>
    </w:p>
    <w:p w:rsidR="007C359F" w:rsidRPr="00016073" w:rsidRDefault="007C359F" w:rsidP="00E81F46">
      <w:pPr>
        <w:numPr>
          <w:ilvl w:val="0"/>
          <w:numId w:val="7"/>
        </w:numPr>
        <w:spacing w:before="0" w:after="0" w:line="276" w:lineRule="auto"/>
        <w:ind w:left="1440"/>
        <w:contextualSpacing/>
        <w:rPr>
          <w:rFonts w:asciiTheme="minorHAnsi" w:eastAsia="Times New Roman" w:hAnsiTheme="minorHAnsi" w:cstheme="minorHAnsi"/>
          <w:bCs/>
          <w:i/>
          <w:sz w:val="20"/>
          <w:szCs w:val="20"/>
        </w:rPr>
      </w:pPr>
      <w:r w:rsidRPr="00016073">
        <w:rPr>
          <w:rFonts w:asciiTheme="minorHAnsi" w:eastAsia="Times New Roman" w:hAnsiTheme="minorHAnsi" w:cstheme="minorHAnsi"/>
          <w:bCs/>
          <w:i/>
          <w:sz w:val="20"/>
          <w:szCs w:val="20"/>
        </w:rPr>
        <w:t>System used for grading the body of evidence</w:t>
      </w:r>
    </w:p>
    <w:p w:rsidR="007C359F" w:rsidRPr="00016073" w:rsidRDefault="007C359F" w:rsidP="00E81F46">
      <w:pPr>
        <w:numPr>
          <w:ilvl w:val="0"/>
          <w:numId w:val="7"/>
        </w:numPr>
        <w:spacing w:before="0" w:after="0" w:line="276" w:lineRule="auto"/>
        <w:ind w:left="1440"/>
        <w:contextualSpacing/>
        <w:rPr>
          <w:rFonts w:asciiTheme="minorHAnsi" w:eastAsia="Times New Roman" w:hAnsiTheme="minorHAnsi" w:cstheme="minorHAnsi"/>
          <w:bCs/>
          <w:i/>
          <w:sz w:val="20"/>
          <w:szCs w:val="20"/>
        </w:rPr>
      </w:pPr>
      <w:r w:rsidRPr="00016073">
        <w:rPr>
          <w:rFonts w:asciiTheme="minorHAnsi" w:eastAsia="Times New Roman" w:hAnsiTheme="minorHAnsi" w:cstheme="minorHAnsi"/>
          <w:bCs/>
          <w:i/>
          <w:sz w:val="20"/>
          <w:szCs w:val="20"/>
        </w:rPr>
        <w:t>Grade assigned to the body of evidence</w:t>
      </w:r>
    </w:p>
    <w:p w:rsidR="007F0FC4" w:rsidRPr="00016073" w:rsidRDefault="007C359F" w:rsidP="007F0FC4">
      <w:pPr>
        <w:spacing w:before="0" w:after="0" w:line="276" w:lineRule="auto"/>
        <w:ind w:left="1440"/>
        <w:rPr>
          <w:rFonts w:asciiTheme="minorHAnsi" w:eastAsiaTheme="minorHAnsi" w:hAnsiTheme="minorHAnsi" w:cstheme="minorHAnsi"/>
          <w:bCs/>
          <w:i/>
          <w:sz w:val="20"/>
          <w:szCs w:val="20"/>
        </w:rPr>
      </w:pPr>
      <w:r w:rsidRPr="00016073">
        <w:rPr>
          <w:rFonts w:asciiTheme="minorHAnsi" w:eastAsiaTheme="minorHAnsi" w:hAnsiTheme="minorHAnsi" w:cstheme="minorHAnsi"/>
          <w:bCs/>
          <w:i/>
          <w:sz w:val="20"/>
          <w:szCs w:val="20"/>
        </w:rPr>
        <w:t>Summary of controversy/contradictory evidence</w:t>
      </w:r>
    </w:p>
    <w:p w:rsidR="007F0FC4" w:rsidRPr="00016073" w:rsidRDefault="007F0FC4" w:rsidP="004E2B0D">
      <w:pPr>
        <w:pStyle w:val="Body"/>
      </w:pPr>
      <w:r w:rsidRPr="00016073">
        <w:t>The body of evidence for this measure has not been rated.</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Citation</w:t>
      </w:r>
    </w:p>
    <w:p w:rsidR="007C359F" w:rsidRPr="00016073" w:rsidRDefault="007C359F" w:rsidP="00A64C6A">
      <w:pPr>
        <w:pStyle w:val="Body2"/>
      </w:pPr>
      <w:r w:rsidRPr="00016073">
        <w:t>1c15</w:t>
      </w:r>
      <w:r w:rsidR="00026658">
        <w:t xml:space="preserve">.  </w:t>
      </w:r>
      <w:r w:rsidRPr="00016073">
        <w:t>Provide citations for the evidence described above</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Guideline recommendation</w:t>
      </w:r>
    </w:p>
    <w:p w:rsidR="007C359F" w:rsidRPr="00016073" w:rsidRDefault="007C359F" w:rsidP="00A64C6A">
      <w:pPr>
        <w:pStyle w:val="Body2"/>
      </w:pPr>
      <w:r w:rsidRPr="00016073">
        <w:t>1c16</w:t>
      </w:r>
      <w:r w:rsidR="00026658">
        <w:t xml:space="preserve">.  </w:t>
      </w:r>
      <w:r w:rsidRPr="00016073">
        <w:t>Quote verbatim, the specific guideline recommendation (Including guideline number and/or page number)</w:t>
      </w:r>
    </w:p>
    <w:p w:rsidR="00813A05" w:rsidRPr="00016073" w:rsidRDefault="00813A05" w:rsidP="00026658">
      <w:pPr>
        <w:pStyle w:val="BodyText"/>
        <w:keepNext/>
      </w:pPr>
      <w:r w:rsidRPr="00016073">
        <w:lastRenderedPageBreak/>
        <w:t>State Operations Manual Appendix PP - Guidance to Surveyors for Long Term Care Facilities (Table I Medication Issues of Particular Relevance)</w:t>
      </w:r>
    </w:p>
    <w:p w:rsidR="00DF20C2" w:rsidRPr="00016073" w:rsidRDefault="00DF20C2" w:rsidP="004E2B0D">
      <w:pPr>
        <w:pStyle w:val="Body"/>
      </w:pPr>
      <w:r w:rsidRPr="00016073">
        <w:t xml:space="preserve">An antipsychotic medication should be used only for the following conditions/diagnoses as documented in the record and as meets the definition(s) in the Diagnostic and Statistical Manual of Mental Disorders, Fourth Edition, Training Revision (DSM-IV TR) or subsequent editions: </w:t>
      </w:r>
    </w:p>
    <w:p w:rsidR="00DF20C2" w:rsidRPr="00016073" w:rsidRDefault="00DF20C2" w:rsidP="00396E7C">
      <w:pPr>
        <w:pStyle w:val="ListBullet1"/>
      </w:pPr>
      <w:r w:rsidRPr="00016073">
        <w:t xml:space="preserve">Schizophrenia </w:t>
      </w:r>
    </w:p>
    <w:p w:rsidR="00DF20C2" w:rsidRPr="00016073" w:rsidRDefault="00DF20C2" w:rsidP="00396E7C">
      <w:pPr>
        <w:pStyle w:val="ListBullet1"/>
      </w:pPr>
      <w:r w:rsidRPr="00016073">
        <w:t xml:space="preserve">Schizo-affective disorder </w:t>
      </w:r>
    </w:p>
    <w:p w:rsidR="00DF20C2" w:rsidRPr="00016073" w:rsidRDefault="00DF20C2" w:rsidP="00396E7C">
      <w:pPr>
        <w:pStyle w:val="ListBullet1"/>
      </w:pPr>
      <w:r w:rsidRPr="00016073">
        <w:t xml:space="preserve">Delusional disorder </w:t>
      </w:r>
    </w:p>
    <w:p w:rsidR="00DF20C2" w:rsidRPr="00016073" w:rsidRDefault="00DF20C2" w:rsidP="00396E7C">
      <w:pPr>
        <w:pStyle w:val="ListBullet1"/>
      </w:pPr>
      <w:r w:rsidRPr="00016073">
        <w:t>Mood disorders (e.g</w:t>
      </w:r>
      <w:r w:rsidR="00026658">
        <w:t xml:space="preserve">.  </w:t>
      </w:r>
      <w:r w:rsidRPr="00016073">
        <w:t xml:space="preserve">mania, bipolar disorder, depression with psychotic features, and treatment refractory major depression) </w:t>
      </w:r>
    </w:p>
    <w:p w:rsidR="00DF20C2" w:rsidRPr="00016073" w:rsidRDefault="00DF20C2" w:rsidP="00396E7C">
      <w:pPr>
        <w:pStyle w:val="ListBullet1"/>
      </w:pPr>
      <w:r w:rsidRPr="00016073">
        <w:t xml:space="preserve">Schizophreniform disorder </w:t>
      </w:r>
    </w:p>
    <w:p w:rsidR="00DF20C2" w:rsidRPr="00016073" w:rsidRDefault="00DF20C2" w:rsidP="00396E7C">
      <w:pPr>
        <w:pStyle w:val="ListBullet1"/>
      </w:pPr>
      <w:r w:rsidRPr="00016073">
        <w:t xml:space="preserve">Psychosis NOS </w:t>
      </w:r>
    </w:p>
    <w:p w:rsidR="00DF20C2" w:rsidRPr="00016073" w:rsidRDefault="00DF20C2" w:rsidP="00396E7C">
      <w:pPr>
        <w:pStyle w:val="ListBullet1"/>
      </w:pPr>
      <w:r w:rsidRPr="00016073">
        <w:t>Atypical psychosis</w:t>
      </w:r>
    </w:p>
    <w:p w:rsidR="00DF20C2" w:rsidRPr="00016073" w:rsidRDefault="00DF20C2" w:rsidP="00396E7C">
      <w:pPr>
        <w:pStyle w:val="ListBullet1"/>
      </w:pPr>
      <w:r w:rsidRPr="00016073">
        <w:t xml:space="preserve">Brief psychotic disorder </w:t>
      </w:r>
    </w:p>
    <w:p w:rsidR="00DF20C2" w:rsidRPr="00016073" w:rsidRDefault="00DF20C2" w:rsidP="00396E7C">
      <w:pPr>
        <w:pStyle w:val="ListBullet1"/>
      </w:pPr>
      <w:r w:rsidRPr="00016073">
        <w:t xml:space="preserve">Dementing illnesses with associated behavioral symptoms </w:t>
      </w:r>
    </w:p>
    <w:p w:rsidR="00DF20C2" w:rsidRPr="00016073" w:rsidRDefault="00DF20C2" w:rsidP="00396E7C">
      <w:pPr>
        <w:pStyle w:val="ListBullet1"/>
      </w:pPr>
      <w:r w:rsidRPr="00016073">
        <w:t xml:space="preserve">Medical illnesses or delirium with manic or psychotic symptoms and/or treatment-related psychosis or mania (e.g., thyrotoxicosis, neoplasms, high dose steroids) </w:t>
      </w:r>
    </w:p>
    <w:p w:rsidR="00DF20C2" w:rsidRPr="00016073" w:rsidRDefault="00DF20C2" w:rsidP="00396E7C">
      <w:pPr>
        <w:pStyle w:val="ListBullet1"/>
      </w:pPr>
      <w:r w:rsidRPr="00016073">
        <w:t xml:space="preserve">In addition, the use of an antipsychotic must meet the criteria and applicable, additional requirements listed below: </w:t>
      </w:r>
    </w:p>
    <w:p w:rsidR="00DF20C2" w:rsidRPr="00016073" w:rsidRDefault="00DF20C2" w:rsidP="00E03E22">
      <w:pPr>
        <w:pStyle w:val="List1"/>
        <w:ind w:left="1080"/>
      </w:pPr>
      <w:r w:rsidRPr="00016073">
        <w:t>1</w:t>
      </w:r>
      <w:r w:rsidR="00026658">
        <w:t xml:space="preserve">.  </w:t>
      </w:r>
      <w:r w:rsidR="00396E7C">
        <w:tab/>
      </w:r>
      <w:r w:rsidRPr="00016073">
        <w:t xml:space="preserve">Criteria: </w:t>
      </w:r>
    </w:p>
    <w:p w:rsidR="00DF20C2" w:rsidRPr="00016073" w:rsidRDefault="00DF20C2" w:rsidP="00E03E22">
      <w:pPr>
        <w:pStyle w:val="ListBullet1"/>
        <w:ind w:left="1440"/>
      </w:pPr>
      <w:r w:rsidRPr="00016073">
        <w:t xml:space="preserve">Since diagnoses alone do not warrant the use of antipsychotic medications, the clinical condition must also meet at least one of the following criteria (A or B or C): </w:t>
      </w:r>
    </w:p>
    <w:p w:rsidR="0044266B" w:rsidRPr="00016073" w:rsidRDefault="00DF20C2" w:rsidP="00E03E22">
      <w:pPr>
        <w:pStyle w:val="ListBullet3"/>
        <w:ind w:left="1800"/>
      </w:pPr>
      <w:r w:rsidRPr="00016073">
        <w:t xml:space="preserve">The symptoms are identified as being due to mania or psychosis (such as: auditory, visual, or other hallucinations; delusions (such as paranoia or grandiosity)); OR </w:t>
      </w:r>
    </w:p>
    <w:p w:rsidR="0044266B" w:rsidRPr="00016073" w:rsidRDefault="00DF20C2" w:rsidP="00E03E22">
      <w:pPr>
        <w:pStyle w:val="ListBullet3"/>
        <w:ind w:left="1800"/>
      </w:pPr>
      <w:r w:rsidRPr="00016073">
        <w:t xml:space="preserve">The behavioral symptoms present a danger to the resident or to others; OR </w:t>
      </w:r>
    </w:p>
    <w:p w:rsidR="0044266B" w:rsidRPr="00016073" w:rsidRDefault="00DF20C2" w:rsidP="00E03E22">
      <w:pPr>
        <w:pStyle w:val="ListBullet3"/>
        <w:ind w:left="1800"/>
      </w:pPr>
      <w:r w:rsidRPr="00016073">
        <w:t>The symptoms are significant enough that the resident is experiencing one or more of the following: inconsolable or persistent distress (e.g., fear, continuously yelling, screaming, distress associated with end-of-life, or crying); a significant decline in function; and/or substantial difficulty receiving needed care (e.g., not eating resulting in weight loss, fear and not bathing leading to skin breakdown or infection)</w:t>
      </w:r>
      <w:r w:rsidR="00026658">
        <w:t xml:space="preserve">.  </w:t>
      </w:r>
    </w:p>
    <w:p w:rsidR="00DF20C2" w:rsidRPr="00016073" w:rsidRDefault="00DF20C2" w:rsidP="00E03E22">
      <w:pPr>
        <w:pStyle w:val="List1"/>
        <w:ind w:left="1080"/>
      </w:pPr>
      <w:r w:rsidRPr="00016073">
        <w:t>2</w:t>
      </w:r>
      <w:r w:rsidR="00026658">
        <w:t xml:space="preserve">.  </w:t>
      </w:r>
      <w:r w:rsidR="00396E7C">
        <w:tab/>
      </w:r>
      <w:r w:rsidRPr="00016073">
        <w:t xml:space="preserve">Additional Requirements: </w:t>
      </w:r>
    </w:p>
    <w:p w:rsidR="00DF20C2" w:rsidRPr="00016073" w:rsidRDefault="00DF20C2" w:rsidP="00E03E22">
      <w:pPr>
        <w:pStyle w:val="Style1"/>
        <w:ind w:left="1440"/>
      </w:pPr>
      <w:r w:rsidRPr="00016073">
        <w:t>Acute Psychiatric Situations</w:t>
      </w:r>
    </w:p>
    <w:p w:rsidR="00DF20C2" w:rsidRPr="00FC141B" w:rsidRDefault="00DF20C2" w:rsidP="00FC141B">
      <w:pPr>
        <w:pStyle w:val="BulletText"/>
        <w:ind w:left="1440"/>
        <w:rPr>
          <w:color w:val="0000FF"/>
        </w:rPr>
      </w:pPr>
      <w:r w:rsidRPr="00FC141B">
        <w:rPr>
          <w:color w:val="0000FF"/>
        </w:rPr>
        <w:t xml:space="preserve">When an antipsychotic medication is being initiated or used to treat an acute psychiatric emergency (i.e., recent or abrupt onset or exacerbation of symptoms) related to one or more of the aforementioned conditions/diagnoses, that use must meet one of the above criteria and all of the following additional requirements: </w:t>
      </w:r>
    </w:p>
    <w:p w:rsidR="0044266B" w:rsidRPr="00396E7C" w:rsidRDefault="00DF20C2" w:rsidP="00E03E22">
      <w:pPr>
        <w:pStyle w:val="ListBullet3"/>
        <w:numPr>
          <w:ilvl w:val="0"/>
          <w:numId w:val="16"/>
        </w:numPr>
        <w:ind w:left="1800"/>
      </w:pPr>
      <w:r w:rsidRPr="00396E7C">
        <w:t xml:space="preserve">The acute treatment period is limited to seven days or less; and </w:t>
      </w:r>
    </w:p>
    <w:p w:rsidR="0044266B" w:rsidRPr="00396E7C" w:rsidRDefault="00DF20C2" w:rsidP="00E03E22">
      <w:pPr>
        <w:pStyle w:val="ListBullet3"/>
        <w:ind w:left="1800"/>
      </w:pPr>
      <w:r w:rsidRPr="00396E7C">
        <w:t xml:space="preserve">A clinician in conjunction with the interdisciplinary team must evaluate and document the situation within </w:t>
      </w:r>
      <w:r w:rsidR="00A64C6A">
        <w:t xml:space="preserve">7 </w:t>
      </w:r>
      <w:r w:rsidRPr="00396E7C">
        <w:t xml:space="preserve">days, to identify and address any contributing and underlying causes of the acute psychiatric condition and verify the continuing need for antipsychotic medication; and </w:t>
      </w:r>
    </w:p>
    <w:p w:rsidR="0044266B" w:rsidRPr="00396E7C" w:rsidRDefault="00DF20C2" w:rsidP="00E03E22">
      <w:pPr>
        <w:pStyle w:val="ListBullet3"/>
        <w:ind w:left="1800"/>
      </w:pPr>
      <w:r w:rsidRPr="00396E7C">
        <w:t>Pertinent non-pharmacological interventions must be attempted, unless contraindicated, and documented following the resolution of the acute psychiatric situation</w:t>
      </w:r>
      <w:r w:rsidR="00026658">
        <w:t xml:space="preserve">.  </w:t>
      </w:r>
    </w:p>
    <w:p w:rsidR="00DF20C2" w:rsidRPr="00016073" w:rsidRDefault="00DF20C2" w:rsidP="00E03E22">
      <w:pPr>
        <w:pStyle w:val="ListBullet1"/>
        <w:ind w:left="1440"/>
      </w:pPr>
      <w:r w:rsidRPr="00016073">
        <w:t xml:space="preserve">Enduring Psychiatric </w:t>
      </w:r>
      <w:r w:rsidRPr="00A64C6A">
        <w:t>Conditions</w:t>
      </w:r>
      <w:r w:rsidRPr="00016073">
        <w:t xml:space="preserve"> </w:t>
      </w:r>
    </w:p>
    <w:p w:rsidR="00DF20C2" w:rsidRPr="00FC141B" w:rsidRDefault="00DF20C2" w:rsidP="00FC141B">
      <w:pPr>
        <w:pStyle w:val="BulletText"/>
        <w:ind w:left="1440"/>
        <w:rPr>
          <w:color w:val="0000FF"/>
        </w:rPr>
      </w:pPr>
      <w:r w:rsidRPr="00FC141B">
        <w:rPr>
          <w:color w:val="0000FF"/>
        </w:rPr>
        <w:t>Antipsychotic medications may be used to treat an enduring (i.e., non-acute, chronic, or prolonged) condition, if the clinical condition/diagnosis meets the criteria in #1 above</w:t>
      </w:r>
      <w:r w:rsidR="00026658" w:rsidRPr="00FC141B">
        <w:rPr>
          <w:color w:val="0000FF"/>
        </w:rPr>
        <w:t xml:space="preserve">.  </w:t>
      </w:r>
      <w:r w:rsidRPr="00FC141B">
        <w:rPr>
          <w:color w:val="0000FF"/>
        </w:rPr>
        <w:t xml:space="preserve">In addition, before initiating or increasing an antipsychotic medication for enduring conditions, the target behavior must be clearly and </w:t>
      </w:r>
      <w:r w:rsidRPr="00FC141B">
        <w:rPr>
          <w:color w:val="0000FF"/>
        </w:rPr>
        <w:lastRenderedPageBreak/>
        <w:t xml:space="preserve">specifically identified and monitored objectively and qualitatively, in order to ensure the behavioral symptoms are: </w:t>
      </w:r>
    </w:p>
    <w:p w:rsidR="0044266B" w:rsidRPr="00396E7C" w:rsidRDefault="00DF20C2" w:rsidP="00E03E22">
      <w:pPr>
        <w:pStyle w:val="BodyIndent2"/>
        <w:ind w:left="1800"/>
      </w:pPr>
      <w:r w:rsidRPr="00396E7C">
        <w:t>A</w:t>
      </w:r>
      <w:r w:rsidR="00026658">
        <w:t xml:space="preserve">.  </w:t>
      </w:r>
      <w:r w:rsidR="00396E7C">
        <w:tab/>
      </w:r>
      <w:r w:rsidRPr="00396E7C">
        <w:t xml:space="preserve">Not due to a medical condition or problem (e.g., headache or joint pain, fluid or electrolyte imbalance, pneumonia, hypoxia, unrecognized hearing or visual impairment) that can be expected to improve or resolve as the underlying condition is treated; and </w:t>
      </w:r>
    </w:p>
    <w:p w:rsidR="0044266B" w:rsidRPr="00396E7C" w:rsidRDefault="00DF20C2" w:rsidP="00E03E22">
      <w:pPr>
        <w:pStyle w:val="BodyIndent2"/>
        <w:ind w:left="1800"/>
      </w:pPr>
      <w:r w:rsidRPr="00396E7C">
        <w:t>B</w:t>
      </w:r>
      <w:r w:rsidR="00026658">
        <w:t xml:space="preserve">.  </w:t>
      </w:r>
      <w:r w:rsidR="00396E7C">
        <w:tab/>
      </w:r>
      <w:r w:rsidRPr="00396E7C">
        <w:t xml:space="preserve">Persistent or likely to reoccur without continued treatment; and </w:t>
      </w:r>
    </w:p>
    <w:p w:rsidR="0044266B" w:rsidRPr="00396E7C" w:rsidRDefault="00DF20C2" w:rsidP="00E03E22">
      <w:pPr>
        <w:pStyle w:val="BodyIndent2"/>
        <w:ind w:left="1800"/>
      </w:pPr>
      <w:r w:rsidRPr="00396E7C">
        <w:t>C</w:t>
      </w:r>
      <w:r w:rsidR="00026658">
        <w:t xml:space="preserve">.  </w:t>
      </w:r>
      <w:r w:rsidR="00396E7C">
        <w:tab/>
      </w:r>
      <w:r w:rsidRPr="00396E7C">
        <w:t xml:space="preserve">Not sufficiently relieved by non-pharmacological interventions; and </w:t>
      </w:r>
    </w:p>
    <w:p w:rsidR="0044266B" w:rsidRPr="00396E7C" w:rsidRDefault="00DF20C2" w:rsidP="00E03E22">
      <w:pPr>
        <w:pStyle w:val="BodyIndent2"/>
        <w:ind w:left="1800"/>
      </w:pPr>
      <w:r w:rsidRPr="00396E7C">
        <w:t>D</w:t>
      </w:r>
      <w:r w:rsidR="00026658">
        <w:t xml:space="preserve">.  </w:t>
      </w:r>
      <w:r w:rsidR="00396E7C">
        <w:tab/>
      </w:r>
      <w:r w:rsidRPr="00396E7C">
        <w:t xml:space="preserve">Not due to environmental stressors (e.g., alteration in the resident’s customary location or daily routine, unfamiliar care provider, hunger or thirst, excessive noise for that individual, inadequate or inappropriate staff response, physical barriers) that can be addressed to improve the psychotic symptoms or maintain safety; and </w:t>
      </w:r>
    </w:p>
    <w:p w:rsidR="0044266B" w:rsidRPr="00396E7C" w:rsidRDefault="00DF20C2" w:rsidP="00E03E22">
      <w:pPr>
        <w:pStyle w:val="BodyIndent2"/>
        <w:ind w:left="1800"/>
      </w:pPr>
      <w:r w:rsidRPr="00396E7C">
        <w:t>E</w:t>
      </w:r>
      <w:r w:rsidR="00026658">
        <w:t xml:space="preserve">.  </w:t>
      </w:r>
      <w:r w:rsidR="00396E7C">
        <w:tab/>
      </w:r>
      <w:r w:rsidRPr="00396E7C">
        <w:t xml:space="preserve">Not due to psychological stressors (e.g., loneliness, taunting, abuse), or anxiety or fear stemming from misunderstanding related to his or her cognitive impairment (e.g., the mistaken belief that this is not where he/she lives or inability to find his or her clothes or glasses) that can be expected to improve or resolve as the situation is addressed </w:t>
      </w:r>
    </w:p>
    <w:p w:rsidR="0044266B" w:rsidRPr="00016073" w:rsidRDefault="00DF20C2" w:rsidP="00E03E22">
      <w:pPr>
        <w:pStyle w:val="Style1"/>
        <w:ind w:left="1440"/>
      </w:pPr>
      <w:r w:rsidRPr="00016073">
        <w:t xml:space="preserve">After initiating or increasing the dose of an antipsychotic medication, the behavioral symptoms must be reevaluated periodically to determine the effectiveness of the antipsychotic and the potential for reducing or discontinuing the dose </w:t>
      </w:r>
    </w:p>
    <w:p w:rsidR="00DF20C2" w:rsidRPr="00016073" w:rsidRDefault="00DF20C2" w:rsidP="00396E7C">
      <w:pPr>
        <w:pStyle w:val="Body"/>
      </w:pPr>
      <w:r w:rsidRPr="00016073">
        <w:rPr>
          <w:b/>
        </w:rPr>
        <w:t xml:space="preserve">Exception: </w:t>
      </w:r>
      <w:r w:rsidRPr="00016073">
        <w:t>When antipsychotic medications are used for behavioral disturbances related to Tourette’s disorder, or for non-psychiatric indications such as movement disorders associated with Huntington’s disease, hiccups, nausea and vomiting associated with cancer or cancer chemotherapy, or adjunctive therapy at end of life</w:t>
      </w:r>
      <w:r w:rsidR="00026658">
        <w:t xml:space="preserve">.  </w:t>
      </w:r>
    </w:p>
    <w:p w:rsidR="00DF20C2" w:rsidRPr="00F938F7" w:rsidRDefault="00DF20C2" w:rsidP="00F938F7">
      <w:pPr>
        <w:pStyle w:val="Body"/>
        <w:rPr>
          <w:b/>
          <w:bCs w:val="0"/>
        </w:rPr>
      </w:pPr>
      <w:r w:rsidRPr="00F938F7">
        <w:rPr>
          <w:b/>
          <w:bCs w:val="0"/>
        </w:rPr>
        <w:t>Inadequate Indications</w:t>
      </w:r>
    </w:p>
    <w:p w:rsidR="00DF20C2" w:rsidRPr="00016073" w:rsidRDefault="00DF20C2" w:rsidP="00396E7C">
      <w:pPr>
        <w:pStyle w:val="Body"/>
      </w:pPr>
      <w:r w:rsidRPr="00016073">
        <w:t>In many situations, antipsychotic medications are not indicated</w:t>
      </w:r>
      <w:r w:rsidR="00026658">
        <w:t xml:space="preserve">.  </w:t>
      </w:r>
      <w:r w:rsidRPr="00016073">
        <w:t xml:space="preserve">They should not be used if the only indication is one or more of the following: 1) </w:t>
      </w:r>
      <w:r w:rsidRPr="00396E7C">
        <w:t>wandering</w:t>
      </w:r>
      <w:r w:rsidRPr="00016073">
        <w:t>; 2) poor self-care; 3) restlessness; 4) impaired memory; 5) mild anxiety; 6) insomnia; 7) unsociability; 8) inattention or indifference to surroundings; 9) fidgeting; 10) nervousness; 11) uncooperativeness; or 12) verbal expressions or behavior that are not due to the conditions listed under “Indications” and do not represent a danger to the resident or others</w:t>
      </w:r>
      <w:r w:rsidR="00026658">
        <w:t xml:space="preserve">.  </w:t>
      </w:r>
    </w:p>
    <w:p w:rsidR="00DF20C2" w:rsidRPr="00016073" w:rsidRDefault="00DF20C2" w:rsidP="00396E7C">
      <w:pPr>
        <w:pStyle w:val="Body"/>
      </w:pPr>
      <w:r w:rsidRPr="00016073">
        <w:t xml:space="preserve">Following the FDA black box warnings, a consensus development conference was convened in 2006 to address the issue of elderly patients with dementia-related symptoms of severe agitation and aggression (Salzman et al., </w:t>
      </w:r>
      <w:r w:rsidR="00662F57" w:rsidRPr="00016073">
        <w:t>2008</w:t>
      </w:r>
      <w:r w:rsidRPr="00016073">
        <w:t>)</w:t>
      </w:r>
      <w:r w:rsidR="00026658">
        <w:t xml:space="preserve">.  </w:t>
      </w:r>
      <w:r w:rsidRPr="00016073">
        <w:t>The conference was held to assess the evidence on safety and efficacy of antipsychotics and nonpharmacologic treatment</w:t>
      </w:r>
      <w:r w:rsidR="00026658">
        <w:t xml:space="preserve">.  </w:t>
      </w:r>
      <w:r w:rsidRPr="00016073">
        <w:t>Geriatric mental health experts issued recommendations specific t the nursing home setting and developed a treatment algorithm</w:t>
      </w:r>
      <w:r w:rsidR="00026658">
        <w:t xml:space="preserve">.  </w:t>
      </w:r>
      <w:r w:rsidRPr="00016073">
        <w:t xml:space="preserve">They recommended that nursing home staff along with the physician discuss treatment upon admission and prior to any evidence of aggression; following an aggression episode staff should identify and eliminate any causes (such as pain, medical illness, medications, drug interactions, loneliness, fear, boredom, or environmental stress) and conduct a comprehensive assessment (including medication review, an intensive medical evaluation, and a psychosocial assessment (including tests of alertness, sedation, cognitive function, ADL, well-being and quality of life); and the panel recommended that the risks and benefits associated with clinical treatment should be communicated with family members and consent should be obtained (Salzman et al., </w:t>
      </w:r>
      <w:r w:rsidR="00662F57" w:rsidRPr="00016073">
        <w:t>2008</w:t>
      </w:r>
      <w:r w:rsidRPr="00016073">
        <w:t>)</w:t>
      </w:r>
      <w:r w:rsidR="00026658">
        <w:t xml:space="preserve">.  </w:t>
      </w:r>
    </w:p>
    <w:p w:rsidR="007C359F" w:rsidRPr="00016073" w:rsidRDefault="007C359F"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Citation</w:t>
      </w:r>
    </w:p>
    <w:p w:rsidR="007C359F" w:rsidRPr="00016073" w:rsidRDefault="007C359F" w:rsidP="007C359F">
      <w:pPr>
        <w:spacing w:before="0" w:after="0" w:line="276" w:lineRule="auto"/>
        <w:ind w:left="720"/>
        <w:rPr>
          <w:rFonts w:asciiTheme="minorHAnsi" w:eastAsiaTheme="minorHAnsi" w:hAnsiTheme="minorHAnsi" w:cstheme="minorHAnsi"/>
          <w:bCs/>
          <w:i/>
          <w:sz w:val="20"/>
          <w:szCs w:val="20"/>
        </w:rPr>
      </w:pPr>
      <w:r w:rsidRPr="00016073">
        <w:rPr>
          <w:rFonts w:asciiTheme="minorHAnsi" w:eastAsiaTheme="minorHAnsi" w:hAnsiTheme="minorHAnsi" w:cstheme="minorHAnsi"/>
          <w:bCs/>
          <w:i/>
          <w:sz w:val="20"/>
          <w:szCs w:val="20"/>
        </w:rPr>
        <w:t>1c17</w:t>
      </w:r>
      <w:r w:rsidR="00026658">
        <w:rPr>
          <w:rFonts w:asciiTheme="minorHAnsi" w:eastAsiaTheme="minorHAnsi" w:hAnsiTheme="minorHAnsi" w:cstheme="minorHAnsi"/>
          <w:bCs/>
          <w:i/>
          <w:sz w:val="20"/>
          <w:szCs w:val="20"/>
        </w:rPr>
        <w:t xml:space="preserve">.  </w:t>
      </w:r>
      <w:r w:rsidRPr="00016073">
        <w:rPr>
          <w:rFonts w:asciiTheme="minorHAnsi" w:eastAsiaTheme="minorHAnsi" w:hAnsiTheme="minorHAnsi" w:cstheme="minorHAnsi"/>
          <w:bCs/>
          <w:i/>
          <w:sz w:val="20"/>
          <w:szCs w:val="20"/>
        </w:rPr>
        <w:t>Provide citations for the clinical practice guideline quoted</w:t>
      </w:r>
      <w:r w:rsidR="006D487D" w:rsidRPr="00016073">
        <w:rPr>
          <w:rFonts w:asciiTheme="minorHAnsi" w:hAnsiTheme="minorHAnsi" w:cstheme="minorHAnsi"/>
          <w:b/>
          <w:bCs/>
          <w:sz w:val="20"/>
          <w:szCs w:val="20"/>
        </w:rPr>
        <w:t xml:space="preserve"> </w:t>
      </w:r>
      <w:r w:rsidRPr="00016073">
        <w:rPr>
          <w:rFonts w:asciiTheme="minorHAnsi" w:eastAsiaTheme="minorHAnsi" w:hAnsiTheme="minorHAnsi" w:cstheme="minorHAnsi"/>
          <w:bCs/>
          <w:i/>
          <w:sz w:val="20"/>
          <w:szCs w:val="20"/>
        </w:rPr>
        <w:t>above</w:t>
      </w:r>
    </w:p>
    <w:p w:rsidR="00AE3D7B" w:rsidRPr="000C016C" w:rsidRDefault="00AE3D7B" w:rsidP="005922A1">
      <w:pPr>
        <w:pStyle w:val="EndnoteText"/>
        <w:rPr>
          <w:noProof/>
          <w:color w:val="0000FF"/>
        </w:rPr>
      </w:pPr>
      <w:r w:rsidRPr="000C016C">
        <w:rPr>
          <w:noProof/>
          <w:color w:val="0000FF"/>
        </w:rPr>
        <w:t xml:space="preserve">CMS: </w:t>
      </w:r>
      <w:r w:rsidR="00467761" w:rsidRPr="000C016C">
        <w:rPr>
          <w:noProof/>
          <w:color w:val="0000FF"/>
        </w:rPr>
        <w:t>State Operations Manual</w:t>
      </w:r>
      <w:r w:rsidR="00026658" w:rsidRPr="000C016C">
        <w:rPr>
          <w:noProof/>
          <w:color w:val="0000FF"/>
        </w:rPr>
        <w:t xml:space="preserve">.  </w:t>
      </w:r>
      <w:r w:rsidR="00467761" w:rsidRPr="000C016C">
        <w:rPr>
          <w:noProof/>
          <w:color w:val="0000FF"/>
        </w:rPr>
        <w:t>Appendix PP—Guidance to Surveyors for Long Term Care Facilities</w:t>
      </w:r>
      <w:r w:rsidR="00026658" w:rsidRPr="000C016C">
        <w:rPr>
          <w:noProof/>
          <w:color w:val="0000FF"/>
        </w:rPr>
        <w:t xml:space="preserve">.  </w:t>
      </w:r>
      <w:hyperlink r:id="rId18" w:history="1">
        <w:r w:rsidRPr="000C016C">
          <w:rPr>
            <w:rStyle w:val="Hyperlink"/>
            <w:noProof/>
          </w:rPr>
          <w:t>http://www.cms.gov/Regulations-and-Guidance/Guidance/Manuals/downloads/som107ap_pp_guidelines_ltcf.pdf</w:t>
        </w:r>
      </w:hyperlink>
    </w:p>
    <w:p w:rsidR="00AE3D7B" w:rsidRPr="000C016C" w:rsidRDefault="00AE3D7B" w:rsidP="005922A1">
      <w:pPr>
        <w:pStyle w:val="EndnoteText"/>
        <w:rPr>
          <w:noProof/>
          <w:color w:val="0000FF"/>
        </w:rPr>
      </w:pPr>
      <w:r w:rsidRPr="000C016C">
        <w:rPr>
          <w:noProof/>
          <w:color w:val="0000FF"/>
        </w:rPr>
        <w:lastRenderedPageBreak/>
        <w:t xml:space="preserve">FDA: </w:t>
      </w:r>
      <w:r w:rsidR="00467761" w:rsidRPr="000C016C">
        <w:rPr>
          <w:noProof/>
          <w:color w:val="0000FF"/>
          <w:u w:val="single"/>
        </w:rPr>
        <w:t>Information for Healthcare Professionals:  Conventional Antipsychotics</w:t>
      </w:r>
      <w:r w:rsidR="00026658" w:rsidRPr="000C016C">
        <w:rPr>
          <w:noProof/>
          <w:color w:val="0000FF"/>
        </w:rPr>
        <w:t xml:space="preserve">.  </w:t>
      </w:r>
      <w:r w:rsidRPr="000C016C">
        <w:rPr>
          <w:noProof/>
          <w:color w:val="0000FF"/>
        </w:rPr>
        <w:t>FDA Alert (June 16, 2008)</w:t>
      </w:r>
      <w:r w:rsidR="00026658" w:rsidRPr="000C016C">
        <w:rPr>
          <w:noProof/>
          <w:color w:val="0000FF"/>
        </w:rPr>
        <w:t xml:space="preserve">.  </w:t>
      </w:r>
      <w:hyperlink r:id="rId19" w:history="1">
        <w:r w:rsidRPr="000C016C">
          <w:rPr>
            <w:rStyle w:val="Hyperlink"/>
            <w:noProof/>
          </w:rPr>
          <w:t>http://www.fda.gov/drugs/drugsafety/postmarketdrugsafetyinformationforpatientsandproviders/ucm124830.htm</w:t>
        </w:r>
      </w:hyperlink>
    </w:p>
    <w:p w:rsidR="00AE3D7B" w:rsidRPr="000C016C" w:rsidRDefault="00AE3D7B" w:rsidP="005922A1">
      <w:pPr>
        <w:pStyle w:val="EndnoteText"/>
        <w:rPr>
          <w:noProof/>
          <w:color w:val="0000FF"/>
        </w:rPr>
      </w:pPr>
      <w:r w:rsidRPr="000C016C">
        <w:rPr>
          <w:noProof/>
          <w:color w:val="0000FF"/>
        </w:rPr>
        <w:t>Rosack, J.:  FDA orders new warning on atypical antipsychotics</w:t>
      </w:r>
      <w:r w:rsidR="00026658" w:rsidRPr="000C016C">
        <w:rPr>
          <w:noProof/>
          <w:color w:val="0000FF"/>
        </w:rPr>
        <w:t xml:space="preserve">.  </w:t>
      </w:r>
      <w:r w:rsidRPr="000C016C">
        <w:rPr>
          <w:noProof/>
          <w:color w:val="0000FF"/>
          <w:u w:val="single"/>
        </w:rPr>
        <w:t xml:space="preserve">Psychiatr News </w:t>
      </w:r>
      <w:r w:rsidRPr="000C016C">
        <w:rPr>
          <w:noProof/>
          <w:color w:val="0000FF"/>
        </w:rPr>
        <w:t>40(9):1-50, 2005.</w:t>
      </w:r>
    </w:p>
    <w:p w:rsidR="00AE3D7B" w:rsidRPr="00016073" w:rsidRDefault="00662F57" w:rsidP="005922A1">
      <w:pPr>
        <w:pStyle w:val="EndnoteText"/>
        <w:rPr>
          <w:color w:val="0000FF"/>
        </w:rPr>
      </w:pPr>
      <w:r w:rsidRPr="000C016C">
        <w:rPr>
          <w:noProof/>
          <w:color w:val="0000FF"/>
        </w:rPr>
        <w:t>Salzman, C., Jeste, D.V., Meyer, R.E., et al.: Elderly patients with dementia-related symptoms of severe agitation and aggression: consensus statement on treatment options, clinical trials methodology, and policy</w:t>
      </w:r>
      <w:r w:rsidR="00026658" w:rsidRPr="000C016C">
        <w:rPr>
          <w:noProof/>
          <w:color w:val="0000FF"/>
        </w:rPr>
        <w:t xml:space="preserve">.  </w:t>
      </w:r>
      <w:r w:rsidRPr="000C016C">
        <w:rPr>
          <w:noProof/>
          <w:color w:val="0000FF"/>
          <w:u w:val="single"/>
        </w:rPr>
        <w:t>J</w:t>
      </w:r>
      <w:r w:rsidR="00EC6FE2" w:rsidRPr="000C016C">
        <w:rPr>
          <w:noProof/>
          <w:color w:val="0000FF"/>
          <w:u w:val="single"/>
        </w:rPr>
        <w:t xml:space="preserve"> </w:t>
      </w:r>
      <w:r w:rsidRPr="000C016C">
        <w:rPr>
          <w:noProof/>
          <w:color w:val="0000FF"/>
          <w:u w:val="single"/>
        </w:rPr>
        <w:t>Clin Psychiatry</w:t>
      </w:r>
      <w:r w:rsidRPr="000C016C">
        <w:rPr>
          <w:noProof/>
          <w:color w:val="0000FF"/>
        </w:rPr>
        <w:t xml:space="preserve"> 69(6):889-898, 2008.</w:t>
      </w:r>
    </w:p>
    <w:p w:rsidR="00C845D8" w:rsidRPr="00016073" w:rsidRDefault="00047409"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URL</w:t>
      </w:r>
    </w:p>
    <w:p w:rsidR="00047409" w:rsidRPr="00016073" w:rsidRDefault="00047409" w:rsidP="00E81F46">
      <w:pPr>
        <w:pStyle w:val="Body2"/>
      </w:pPr>
      <w:r w:rsidRPr="00016073">
        <w:t>1c18</w:t>
      </w:r>
      <w:r w:rsidR="00026658">
        <w:t xml:space="preserve">.  </w:t>
      </w:r>
      <w:r w:rsidRPr="00016073">
        <w:t>National Guideline Clearinghouse or other URL</w:t>
      </w:r>
    </w:p>
    <w:p w:rsidR="006E42B5" w:rsidRPr="00016073" w:rsidRDefault="00710CCC" w:rsidP="005922A1">
      <w:pPr>
        <w:pStyle w:val="EndnoteText"/>
        <w:rPr>
          <w:rFonts w:cstheme="majorBidi"/>
        </w:rPr>
      </w:pPr>
      <w:hyperlink r:id="rId20" w:history="1">
        <w:r w:rsidR="006E42B5" w:rsidRPr="00016073">
          <w:rPr>
            <w:rStyle w:val="Hyperlink"/>
            <w:rFonts w:cstheme="majorBidi"/>
          </w:rPr>
          <w:t>http://www.fda.gov/drugs/drugsafety/postmarketdrugsafetyinformationforpatientsandproviders/ucm124830.htm</w:t>
        </w:r>
      </w:hyperlink>
    </w:p>
    <w:p w:rsidR="004B1C2E" w:rsidRPr="00016073" w:rsidRDefault="00710CCC" w:rsidP="006E42B5">
      <w:pPr>
        <w:spacing w:before="0" w:after="0" w:line="276" w:lineRule="auto"/>
        <w:rPr>
          <w:rFonts w:asciiTheme="minorHAnsi" w:hAnsiTheme="minorHAnsi" w:cstheme="minorHAnsi"/>
          <w:bCs/>
          <w:i/>
          <w:sz w:val="20"/>
          <w:szCs w:val="20"/>
        </w:rPr>
      </w:pPr>
      <w:hyperlink r:id="rId21" w:history="1">
        <w:r w:rsidR="006E42B5" w:rsidRPr="00016073">
          <w:rPr>
            <w:rStyle w:val="Hyperlink"/>
            <w:rFonts w:asciiTheme="minorHAnsi" w:hAnsiTheme="minorHAnsi" w:cstheme="majorBidi"/>
            <w:sz w:val="20"/>
            <w:szCs w:val="20"/>
          </w:rPr>
          <w:t>http://www.cms.gov/manuals/downloads/som107ap_pp_guidelines_ltcf.pdf</w:t>
        </w:r>
      </w:hyperlink>
    </w:p>
    <w:p w:rsidR="00047409" w:rsidRPr="00016073" w:rsidRDefault="00047409"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Grading of strength of recommendation</w:t>
      </w:r>
    </w:p>
    <w:p w:rsidR="00047409" w:rsidRPr="00016073" w:rsidRDefault="00047409" w:rsidP="00E81F46">
      <w:pPr>
        <w:pStyle w:val="Body2"/>
      </w:pPr>
      <w:r w:rsidRPr="00016073">
        <w:t>1c191 1c21, 1c23</w:t>
      </w:r>
      <w:r w:rsidR="00026658">
        <w:t xml:space="preserve">.  </w:t>
      </w:r>
      <w:r w:rsidRPr="00016073">
        <w:t>Please address:</w:t>
      </w:r>
    </w:p>
    <w:p w:rsidR="00047409" w:rsidRPr="00E81F46" w:rsidRDefault="00047409" w:rsidP="00E81F46">
      <w:pPr>
        <w:pStyle w:val="ListBullet1"/>
        <w:rPr>
          <w:color w:val="auto"/>
        </w:rPr>
      </w:pPr>
      <w:r w:rsidRPr="00E81F46">
        <w:rPr>
          <w:color w:val="auto"/>
        </w:rPr>
        <w:t>Has the recommendation been graded?</w:t>
      </w:r>
    </w:p>
    <w:p w:rsidR="00047409" w:rsidRPr="00E81F46" w:rsidRDefault="00047409" w:rsidP="00E81F46">
      <w:pPr>
        <w:pStyle w:val="ListBullet1"/>
        <w:rPr>
          <w:color w:val="auto"/>
        </w:rPr>
      </w:pPr>
      <w:r w:rsidRPr="00E81F46">
        <w:rPr>
          <w:color w:val="auto"/>
        </w:rPr>
        <w:t>System used for grading the strength of guideline recommendation (USPSTF, GRADE, etc.) Grade assigned to the recommendation</w:t>
      </w:r>
    </w:p>
    <w:p w:rsidR="006E42B5" w:rsidRPr="00016073" w:rsidRDefault="006E42B5" w:rsidP="00E81F46">
      <w:pPr>
        <w:pStyle w:val="Body"/>
        <w:rPr>
          <w:i/>
        </w:rPr>
      </w:pPr>
      <w:r w:rsidRPr="00016073">
        <w:t>The body of evidence for this measure has not been rated.</w:t>
      </w:r>
    </w:p>
    <w:p w:rsidR="00047409" w:rsidRPr="00016073" w:rsidRDefault="00047409" w:rsidP="00E81F46">
      <w:pPr>
        <w:pStyle w:val="ListParagraph"/>
        <w:keepNext/>
        <w:keepLines/>
        <w:numPr>
          <w:ilvl w:val="0"/>
          <w:numId w:val="10"/>
        </w:numPr>
        <w:spacing w:after="0" w:line="276" w:lineRule="auto"/>
        <w:outlineLvl w:val="2"/>
        <w:rPr>
          <w:b/>
          <w:szCs w:val="20"/>
        </w:rPr>
      </w:pPr>
      <w:r w:rsidRPr="00016073">
        <w:rPr>
          <w:rFonts w:eastAsiaTheme="minorHAnsi"/>
          <w:b/>
          <w:szCs w:val="20"/>
        </w:rPr>
        <w:t>Rationale for using this guideline over others</w:t>
      </w:r>
    </w:p>
    <w:p w:rsidR="00B77C41" w:rsidRPr="00016073" w:rsidRDefault="00B77C41" w:rsidP="00E81F46">
      <w:pPr>
        <w:pStyle w:val="Body2"/>
      </w:pPr>
      <w:r w:rsidRPr="00016073">
        <w:t>1c24</w:t>
      </w:r>
      <w:r w:rsidR="00026658">
        <w:t xml:space="preserve">.  </w:t>
      </w:r>
      <w:r w:rsidRPr="00016073">
        <w:t>If multiple guidelines exist, describe why the guideline cited was chosen</w:t>
      </w:r>
      <w:r w:rsidR="00026658">
        <w:t xml:space="preserve">.  </w:t>
      </w:r>
      <w:r w:rsidRPr="00016073">
        <w:t>Factors may include rigor of guideline development, widespread acceptance and use, etc.</w:t>
      </w:r>
    </w:p>
    <w:p w:rsidR="006E42B5" w:rsidRPr="00016073" w:rsidRDefault="006E42B5" w:rsidP="00E81F46">
      <w:pPr>
        <w:pStyle w:val="Body"/>
        <w:rPr>
          <w:i/>
        </w:rPr>
      </w:pPr>
      <w:r w:rsidRPr="00016073">
        <w:t>The cited recommendations specifically target nursing home population and are enforced by Medicare/Medicaid re-certification state survey process.</w:t>
      </w:r>
    </w:p>
    <w:p w:rsidR="00B77C41" w:rsidRPr="00016073" w:rsidRDefault="00B77C41" w:rsidP="00E81F46">
      <w:pPr>
        <w:pStyle w:val="ListParagraph"/>
        <w:keepNext/>
        <w:keepLines/>
        <w:numPr>
          <w:ilvl w:val="0"/>
          <w:numId w:val="10"/>
        </w:numPr>
        <w:spacing w:after="0" w:line="276" w:lineRule="auto"/>
        <w:outlineLvl w:val="2"/>
        <w:rPr>
          <w:rFonts w:asciiTheme="minorHAnsi" w:eastAsiaTheme="minorHAnsi" w:hAnsiTheme="minorHAnsi" w:cstheme="minorHAnsi"/>
          <w:b/>
          <w:bCs/>
          <w:szCs w:val="20"/>
        </w:rPr>
      </w:pPr>
      <w:r w:rsidRPr="00016073">
        <w:rPr>
          <w:rFonts w:asciiTheme="minorHAnsi" w:eastAsiaTheme="minorHAnsi" w:hAnsiTheme="minorHAnsi" w:cstheme="minorHAnsi"/>
          <w:b/>
          <w:bCs/>
          <w:szCs w:val="20"/>
        </w:rPr>
        <w:t>Overall assessment of the body of evidence</w:t>
      </w:r>
    </w:p>
    <w:p w:rsidR="00B77C41" w:rsidRPr="00016073" w:rsidRDefault="00B77C41" w:rsidP="00E81F46">
      <w:pPr>
        <w:pStyle w:val="Body2"/>
      </w:pPr>
      <w:r w:rsidRPr="00016073">
        <w:t>1c25, 1c26, 1c.27</w:t>
      </w:r>
      <w:r w:rsidR="00026658">
        <w:t xml:space="preserve">.  </w:t>
      </w:r>
      <w:r w:rsidRPr="00016073">
        <w:t xml:space="preserve">Based on the NQF descriptions for rating the evidence, what was your assessment of the following attributes of the body of evidence? </w:t>
      </w:r>
    </w:p>
    <w:p w:rsidR="00B77C41" w:rsidRPr="00E81F46" w:rsidRDefault="00B77C41" w:rsidP="00E81F46">
      <w:pPr>
        <w:pStyle w:val="ListBullet1"/>
        <w:ind w:left="1080"/>
        <w:rPr>
          <w:rFonts w:cstheme="minorHAnsi"/>
          <w:bCs w:val="0"/>
          <w:i/>
          <w:color w:val="auto"/>
        </w:rPr>
      </w:pPr>
      <w:r w:rsidRPr="00E81F46">
        <w:rPr>
          <w:rFonts w:cstheme="minorHAnsi"/>
          <w:bCs w:val="0"/>
          <w:i/>
          <w:color w:val="auto"/>
        </w:rPr>
        <w:t>Quantity</w:t>
      </w:r>
      <w:r w:rsidR="00A3539A" w:rsidRPr="00E81F46">
        <w:rPr>
          <w:rFonts w:cstheme="minorHAnsi"/>
          <w:bCs w:val="0"/>
          <w:i/>
          <w:color w:val="auto"/>
        </w:rPr>
        <w:t xml:space="preserve"> </w:t>
      </w:r>
      <w:r w:rsidR="00A3539A" w:rsidRPr="00F938F7">
        <w:rPr>
          <w:rFonts w:cstheme="minorHAnsi"/>
          <w:bCs w:val="0"/>
          <w:i/>
          <w:color w:val="auto"/>
        </w:rPr>
        <w:t>High</w:t>
      </w:r>
    </w:p>
    <w:p w:rsidR="00B77C41" w:rsidRPr="00E81F46" w:rsidRDefault="00B77C41" w:rsidP="00E81F46">
      <w:pPr>
        <w:pStyle w:val="ListBullet1"/>
        <w:ind w:left="1080"/>
        <w:rPr>
          <w:rFonts w:cstheme="minorHAnsi"/>
          <w:bCs w:val="0"/>
          <w:i/>
          <w:color w:val="auto"/>
        </w:rPr>
      </w:pPr>
      <w:r w:rsidRPr="00E81F46">
        <w:rPr>
          <w:rFonts w:cstheme="minorHAnsi"/>
          <w:bCs w:val="0"/>
          <w:i/>
          <w:color w:val="auto"/>
        </w:rPr>
        <w:t>Quality</w:t>
      </w:r>
      <w:r w:rsidR="00A3539A" w:rsidRPr="00E81F46">
        <w:rPr>
          <w:rFonts w:cstheme="minorHAnsi"/>
          <w:bCs w:val="0"/>
          <w:i/>
          <w:color w:val="auto"/>
        </w:rPr>
        <w:t xml:space="preserve"> </w:t>
      </w:r>
      <w:r w:rsidR="00A3539A" w:rsidRPr="00E81F46">
        <w:rPr>
          <w:rFonts w:cstheme="minorHAnsi"/>
          <w:bCs w:val="0"/>
          <w:iCs w:val="0"/>
          <w:color w:val="auto"/>
        </w:rPr>
        <w:t>High</w:t>
      </w:r>
    </w:p>
    <w:p w:rsidR="00B77C41" w:rsidRPr="00E81F46" w:rsidRDefault="00B77C41" w:rsidP="00E81F46">
      <w:pPr>
        <w:pStyle w:val="ListBullet1"/>
        <w:ind w:left="1080"/>
        <w:rPr>
          <w:rFonts w:cstheme="minorHAnsi"/>
          <w:bCs w:val="0"/>
          <w:i/>
          <w:color w:val="auto"/>
        </w:rPr>
      </w:pPr>
      <w:r w:rsidRPr="00E81F46">
        <w:rPr>
          <w:rFonts w:cstheme="minorHAnsi"/>
          <w:bCs w:val="0"/>
          <w:i/>
          <w:color w:val="auto"/>
        </w:rPr>
        <w:t>Consistency</w:t>
      </w:r>
      <w:r w:rsidR="00A3539A" w:rsidRPr="00E81F46">
        <w:rPr>
          <w:rFonts w:cstheme="minorHAnsi"/>
          <w:bCs w:val="0"/>
          <w:i/>
          <w:color w:val="auto"/>
        </w:rPr>
        <w:t xml:space="preserve"> </w:t>
      </w:r>
      <w:r w:rsidR="00A3539A" w:rsidRPr="00E81F46">
        <w:rPr>
          <w:rFonts w:cstheme="minorHAnsi"/>
          <w:bCs w:val="0"/>
          <w:iCs w:val="0"/>
          <w:color w:val="auto"/>
        </w:rPr>
        <w:t>High</w:t>
      </w:r>
    </w:p>
    <w:p w:rsidR="006E42B5" w:rsidRPr="00016073" w:rsidRDefault="00313D5D" w:rsidP="00E81F46">
      <w:pPr>
        <w:pStyle w:val="Body"/>
        <w:rPr>
          <w:rFonts w:eastAsia="Times New Roman" w:cstheme="minorHAnsi"/>
          <w:i/>
        </w:rPr>
      </w:pPr>
      <w:r w:rsidRPr="00016073">
        <w:t xml:space="preserve">Overall, </w:t>
      </w:r>
      <w:r w:rsidR="00235031" w:rsidRPr="00016073">
        <w:t xml:space="preserve">less 30 </w:t>
      </w:r>
      <w:r w:rsidRPr="00016073">
        <w:t xml:space="preserve">studies, including </w:t>
      </w:r>
      <w:r w:rsidR="007714D3" w:rsidRPr="00016073">
        <w:t>s</w:t>
      </w:r>
      <w:r w:rsidRPr="00016073">
        <w:t>ystematic reviews (integrative/meta-analyses/clinical practice guidelines based on systematic reviews), individual RCTs and observational studies, provide consistent evidence that antipsychotic use is associated with increased mortality risk and other adverse events yet lacks clinically proven benefit in nursing home residents without indications for Antipsychotic medication use.</w:t>
      </w:r>
    </w:p>
    <w:p w:rsidR="00B77C41" w:rsidRPr="00016073" w:rsidRDefault="00B77C41" w:rsidP="00E81F46">
      <w:pPr>
        <w:pStyle w:val="Heading2"/>
      </w:pPr>
      <w:r w:rsidRPr="00016073">
        <w:t>Reliability and Validity – Scientific Acceptability of Measure Properties</w:t>
      </w:r>
    </w:p>
    <w:p w:rsidR="00B77C41" w:rsidRPr="00016073" w:rsidRDefault="00B77C41"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Reliability Testing</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Data sample</w:t>
      </w:r>
    </w:p>
    <w:p w:rsidR="00414290" w:rsidRPr="00016073" w:rsidRDefault="00B77C41" w:rsidP="00E81F46">
      <w:pPr>
        <w:pStyle w:val="Body2"/>
      </w:pPr>
      <w:r w:rsidRPr="00016073">
        <w:t>2a2.1.</w:t>
      </w:r>
      <w:r w:rsidR="00155E08">
        <w:t xml:space="preserve">  </w:t>
      </w:r>
      <w:r w:rsidRPr="00016073">
        <w:t>Describe the data or sample including number of measured entities; number of patients; dates of data; if a sample, characteristics of the entities included</w:t>
      </w:r>
    </w:p>
    <w:p w:rsidR="00414290" w:rsidRPr="00016073" w:rsidRDefault="00414290" w:rsidP="00396E7C">
      <w:pPr>
        <w:pStyle w:val="Body"/>
      </w:pPr>
      <w:r w:rsidRPr="00016073">
        <w:lastRenderedPageBreak/>
        <w:t>Three major tests of the reliability of the antipsychotic measures have been conducted.</w:t>
      </w:r>
    </w:p>
    <w:p w:rsidR="00414290" w:rsidRPr="00E81F46" w:rsidRDefault="00414290" w:rsidP="00E03E22">
      <w:pPr>
        <w:pStyle w:val="Body"/>
        <w:keepNext/>
        <w:rPr>
          <w:i/>
          <w:iCs w:val="0"/>
        </w:rPr>
      </w:pPr>
      <w:r w:rsidRPr="00E81F46">
        <w:rPr>
          <w:i/>
          <w:iCs w:val="0"/>
        </w:rPr>
        <w:t xml:space="preserve">Reliability analysis #1 </w:t>
      </w:r>
    </w:p>
    <w:p w:rsidR="00414290" w:rsidRPr="00016073" w:rsidRDefault="00414290" w:rsidP="00396E7C">
      <w:pPr>
        <w:pStyle w:val="Body"/>
      </w:pPr>
      <w:r w:rsidRPr="00016073">
        <w:t>First, the MDS 2.0 measure items and the QI/QM were tested in the Data Assessment and Verification (DAVE 2) project conducted by Abt Associates.</w:t>
      </w:r>
      <w:r w:rsidRPr="00016073">
        <w:rPr>
          <w:vertAlign w:val="superscript"/>
        </w:rPr>
        <w:t>1</w:t>
      </w:r>
      <w:r w:rsidRPr="00016073">
        <w:t xml:space="preserve"> Although this project focused on MDS 2.0, the antipsychotic measure and diagnoses (hence the QI/QM) in MDS 3.0 largely stay the same</w:t>
      </w:r>
      <w:r w:rsidR="00026658">
        <w:t xml:space="preserve">.  </w:t>
      </w:r>
      <w:r w:rsidRPr="00016073">
        <w:t>This project used a nationwide sample of randomly selected nursing facilities using MDS assessments for the period April 1 to December 31, 2006</w:t>
      </w:r>
      <w:r w:rsidR="00026658">
        <w:t xml:space="preserve">.  </w:t>
      </w:r>
      <w:r w:rsidRPr="00016073">
        <w:t>DAVE 2 performed 173 two-stage reviews</w:t>
      </w:r>
      <w:r w:rsidR="00026658">
        <w:t xml:space="preserve">.  </w:t>
      </w:r>
      <w:r w:rsidRPr="00016073">
        <w:t>The sample size (number of reviews) was 103 for the antipsychotic QI/QM.</w:t>
      </w:r>
    </w:p>
    <w:p w:rsidR="00A3539A" w:rsidRPr="00E81F46" w:rsidRDefault="00414290" w:rsidP="00396E7C">
      <w:pPr>
        <w:pStyle w:val="Body"/>
        <w:rPr>
          <w:i/>
          <w:iCs w:val="0"/>
        </w:rPr>
      </w:pPr>
      <w:r w:rsidRPr="00E81F46">
        <w:rPr>
          <w:i/>
          <w:iCs w:val="0"/>
        </w:rPr>
        <w:t xml:space="preserve">Reliability analysis #2 </w:t>
      </w:r>
    </w:p>
    <w:p w:rsidR="00414290" w:rsidRPr="00016073" w:rsidRDefault="00414290" w:rsidP="00396E7C">
      <w:pPr>
        <w:pStyle w:val="Body"/>
      </w:pPr>
      <w:r w:rsidRPr="00016073">
        <w:t>Second, testing of the reliability of MDS 3.0 data items underlying the antipsychotic use quality measure as well as a comparison with the MDS 2.0 quality measures/quality indicators was conducted by RAND as part of the MDS 3.0 development process.</w:t>
      </w:r>
      <w:r w:rsidRPr="00016073">
        <w:rPr>
          <w:vertAlign w:val="superscript"/>
        </w:rPr>
        <w:t>2</w:t>
      </w:r>
      <w:r w:rsidRPr="00016073">
        <w:t xml:space="preserve"> A representative sample of for-profit and not-for-profit facilities and hospital-based and freestanding facilities was recruited for the study, which included 71 community nursing facilities in 8 states, 19 Veterans Affairs (VA) nursing homes, and 1,114 nursing </w:t>
      </w:r>
      <w:r w:rsidR="002B1628" w:rsidRPr="00016073">
        <w:t>home</w:t>
      </w:r>
      <w:r w:rsidRPr="00016073">
        <w:t xml:space="preserve"> residents for the antipsychotic QI/QM.</w:t>
      </w:r>
    </w:p>
    <w:p w:rsidR="00414290" w:rsidRPr="00E81F46" w:rsidRDefault="00414290" w:rsidP="00396E7C">
      <w:pPr>
        <w:pStyle w:val="Body"/>
        <w:rPr>
          <w:i/>
          <w:iCs w:val="0"/>
        </w:rPr>
      </w:pPr>
      <w:r w:rsidRPr="00E81F46">
        <w:rPr>
          <w:i/>
          <w:iCs w:val="0"/>
        </w:rPr>
        <w:t>Reliability analysis #3</w:t>
      </w:r>
    </w:p>
    <w:p w:rsidR="00414290" w:rsidRPr="00016073" w:rsidRDefault="00414290" w:rsidP="00396E7C">
      <w:pPr>
        <w:pStyle w:val="Body"/>
      </w:pPr>
      <w:r w:rsidRPr="00016073">
        <w:t>On October 1, 2010, the Centers for Medicare and Medicaid Services (CMS) implemented Version 3.0 of the Minimum Data Set (MDS) Resident Assessment Instrument (RAI) (under Federal regulations at 42 CFR 483.20 (b)(1)(xviii), (g), and (h))</w:t>
      </w:r>
      <w:r w:rsidR="00026658">
        <w:t xml:space="preserve">.  </w:t>
      </w:r>
      <w:r w:rsidRPr="00016073">
        <w:t xml:space="preserve">In the analysis of measure reliability, MDS 3.0 assessments submitted by nursing homes nationwide in Quarter </w:t>
      </w:r>
      <w:r w:rsidR="00CD0BB9" w:rsidRPr="00016073">
        <w:t xml:space="preserve">3 2011 </w:t>
      </w:r>
      <w:r w:rsidRPr="00016073">
        <w:t xml:space="preserve">through Quarter </w:t>
      </w:r>
      <w:r w:rsidR="00CD0BB9" w:rsidRPr="00016073">
        <w:t xml:space="preserve">2 2012 </w:t>
      </w:r>
      <w:r w:rsidRPr="00016073">
        <w:t xml:space="preserve">were analyzed by RTI, allowing for a comparison of quality measures scores across </w:t>
      </w:r>
      <w:r w:rsidR="00CD0BB9" w:rsidRPr="00016073">
        <w:t>quarters</w:t>
      </w:r>
      <w:r w:rsidR="00026658">
        <w:t xml:space="preserve">.  </w:t>
      </w:r>
      <w:r w:rsidRPr="00016073">
        <w:t>The average number of long</w:t>
      </w:r>
      <w:r w:rsidR="000D6BFF" w:rsidRPr="00016073">
        <w:t>-</w:t>
      </w:r>
      <w:r w:rsidRPr="00016073">
        <w:t xml:space="preserve">stay resident episodes in </w:t>
      </w:r>
      <w:r w:rsidR="00CD0BB9" w:rsidRPr="00016073">
        <w:t>between Quarter 3 2011 and Quarter 2 2012</w:t>
      </w:r>
      <w:r w:rsidRPr="00016073">
        <w:t xml:space="preserve"> </w:t>
      </w:r>
      <w:r w:rsidRPr="00A8252E">
        <w:t xml:space="preserve">was </w:t>
      </w:r>
      <w:r w:rsidR="006E0EA7" w:rsidRPr="00A8252E">
        <w:t>1,197,236</w:t>
      </w:r>
      <w:r w:rsidR="00026658" w:rsidRPr="00A8252E">
        <w:t xml:space="preserve">.  </w:t>
      </w:r>
      <w:r w:rsidRPr="00A8252E">
        <w:t xml:space="preserve">The average number of resident episodes that met the criteria for being included in the denominator of this quality measure in each quarter equaled </w:t>
      </w:r>
      <w:r w:rsidR="00472000" w:rsidRPr="00A8252E">
        <w:t>1,104,317</w:t>
      </w:r>
      <w:r w:rsidRPr="00A8252E">
        <w:t xml:space="preserve">, or </w:t>
      </w:r>
      <w:r w:rsidR="00472000" w:rsidRPr="00A8252E">
        <w:t>92.2</w:t>
      </w:r>
      <w:r w:rsidRPr="00A8252E">
        <w:t>% of all resident episodes from those quarters</w:t>
      </w:r>
      <w:r w:rsidR="00026658" w:rsidRPr="00A8252E">
        <w:t xml:space="preserve">.  </w:t>
      </w:r>
      <w:r w:rsidRPr="00A8252E">
        <w:t xml:space="preserve">There were an average of </w:t>
      </w:r>
      <w:r w:rsidR="006E0EA7" w:rsidRPr="00A8252E">
        <w:t>13,</w:t>
      </w:r>
      <w:r w:rsidR="00383D63" w:rsidRPr="00A8252E">
        <w:t>516</w:t>
      </w:r>
      <w:r w:rsidRPr="00A8252E">
        <w:t xml:space="preserve"> facilities who were eligible to report this quality measure (i.e., had at least 30 residents who qualified for the denom</w:t>
      </w:r>
      <w:r w:rsidRPr="00016073">
        <w:t>inator of this measure) across these quarters</w:t>
      </w:r>
      <w:r w:rsidR="00026658">
        <w:t xml:space="preserve">.  </w:t>
      </w:r>
      <w:r w:rsidRPr="00016073">
        <w:t>(3)</w:t>
      </w:r>
    </w:p>
    <w:p w:rsidR="00414290" w:rsidRPr="00016073" w:rsidRDefault="00414290" w:rsidP="00396E7C">
      <w:pPr>
        <w:pStyle w:val="Body"/>
        <w:tabs>
          <w:tab w:val="left" w:pos="360"/>
        </w:tabs>
        <w:ind w:left="360" w:hanging="360"/>
      </w:pPr>
      <w:r w:rsidRPr="00016073">
        <w:t>1</w:t>
      </w:r>
      <w:r w:rsidR="00026658">
        <w:t xml:space="preserve">.  </w:t>
      </w:r>
      <w:r w:rsidR="00396E7C">
        <w:tab/>
      </w:r>
      <w:r w:rsidRPr="00016073">
        <w:t>Abt Associates, Inc.; Stepwise Systems, Inc.; Qualidigm</w:t>
      </w:r>
      <w:r w:rsidR="00026658">
        <w:t xml:space="preserve">.  </w:t>
      </w:r>
      <w:r w:rsidRPr="00016073">
        <w:t>Data Assessment and Verification (DAVE 2) project—MDS two-stage discrepancy findings, April–December 2006</w:t>
      </w:r>
      <w:r w:rsidR="00026658">
        <w:t xml:space="preserve">.  </w:t>
      </w:r>
      <w:r w:rsidRPr="00016073">
        <w:t>Cambridge, MA: Abt Associates, Inc, 2007.</w:t>
      </w:r>
    </w:p>
    <w:p w:rsidR="00414290" w:rsidRPr="00016073" w:rsidRDefault="00414290" w:rsidP="00396E7C">
      <w:pPr>
        <w:pStyle w:val="Body"/>
        <w:tabs>
          <w:tab w:val="left" w:pos="360"/>
        </w:tabs>
        <w:ind w:left="360" w:hanging="360"/>
      </w:pPr>
      <w:r w:rsidRPr="00016073">
        <w:t>2</w:t>
      </w:r>
      <w:r w:rsidR="00026658">
        <w:t xml:space="preserve">.  </w:t>
      </w:r>
      <w:r w:rsidR="00396E7C">
        <w:tab/>
      </w:r>
      <w:r w:rsidRPr="00016073">
        <w:t>Saliba D, Buchanan J</w:t>
      </w:r>
      <w:r w:rsidR="00026658">
        <w:t xml:space="preserve">.  </w:t>
      </w:r>
      <w:r w:rsidRPr="00016073">
        <w:t>Development and validation of a revised nursing home assessment tool: MDS 3.0</w:t>
      </w:r>
      <w:r w:rsidR="00026658">
        <w:t xml:space="preserve">.  </w:t>
      </w:r>
      <w:r w:rsidRPr="00016073">
        <w:t>Contract No</w:t>
      </w:r>
      <w:r w:rsidR="00026658">
        <w:t xml:space="preserve">.  </w:t>
      </w:r>
      <w:r w:rsidRPr="00016073">
        <w:t>500-00-0027/Task Order #2</w:t>
      </w:r>
      <w:r w:rsidR="00026658">
        <w:t xml:space="preserve">.  </w:t>
      </w:r>
      <w:r w:rsidRPr="00016073">
        <w:t>Santa Monica, CA: Rand Corporation, Apr 2008</w:t>
      </w:r>
      <w:r w:rsidR="00026658">
        <w:t xml:space="preserve">.  </w:t>
      </w:r>
      <w:r w:rsidRPr="00016073">
        <w:t xml:space="preserve">Available from </w:t>
      </w:r>
      <w:hyperlink r:id="rId22" w:history="1">
        <w:r w:rsidRPr="00016073">
          <w:rPr>
            <w:rStyle w:val="Hyperlink"/>
            <w:rFonts w:eastAsiaTheme="minorHAnsi"/>
          </w:rPr>
          <w:t>http://www.cms.hhs.gov/NursingHomeQualityInits/Downloads/MDS30FinalReport.pdf</w:t>
        </w:r>
      </w:hyperlink>
      <w:r w:rsidRPr="00016073">
        <w:t>.</w:t>
      </w:r>
    </w:p>
    <w:p w:rsidR="00414290" w:rsidRPr="00016073" w:rsidRDefault="00414290" w:rsidP="00396E7C">
      <w:pPr>
        <w:pStyle w:val="Body"/>
        <w:tabs>
          <w:tab w:val="left" w:pos="360"/>
        </w:tabs>
        <w:ind w:left="360" w:hanging="360"/>
        <w:rPr>
          <w:i/>
        </w:rPr>
      </w:pPr>
      <w:r w:rsidRPr="00016073">
        <w:t>3</w:t>
      </w:r>
      <w:r w:rsidR="00026658">
        <w:t xml:space="preserve">.  </w:t>
      </w:r>
      <w:r w:rsidR="00396E7C">
        <w:tab/>
      </w:r>
      <w:r w:rsidRPr="00016073">
        <w:t xml:space="preserve">RTI </w:t>
      </w:r>
      <w:r w:rsidRPr="00016073">
        <w:rPr>
          <w:rFonts w:eastAsiaTheme="minorHAnsi"/>
        </w:rPr>
        <w:t>Analysis</w:t>
      </w:r>
      <w:r w:rsidRPr="00016073">
        <w:t xml:space="preserve"> of MDS 3.0 Data</w:t>
      </w:r>
      <w:r w:rsidR="006E0EA7" w:rsidRPr="00016073">
        <w:t xml:space="preserve"> (</w:t>
      </w:r>
      <w:r w:rsidR="00383D63" w:rsidRPr="00016073">
        <w:t xml:space="preserve">ykaganova\qm_quarter_6_7\complete\nh_031_10.log; ykaganova\qm_quarter_5_6\complete\nh_031_10.log; ykaganova\tz\quarter_4_5_complete\nh_031_10.log; ykaganova\tz\quarter_3_4_complete\nh_031_10.log; ykaganova\tz\quarter_6_7_complete\ntz56\ntz56_request.log; ykaganova\tz\quarter_6_7_complete\ntz57\ ntz57_request.log </w:t>
      </w:r>
      <w:r w:rsidR="006E0EA7" w:rsidRPr="00016073">
        <w:t>)</w:t>
      </w:r>
    </w:p>
    <w:p w:rsidR="00B77C41" w:rsidRPr="00016073" w:rsidRDefault="00B77C41" w:rsidP="00E81F46">
      <w:pPr>
        <w:pStyle w:val="ListParagraph"/>
        <w:keepNext/>
        <w:keepLines/>
        <w:numPr>
          <w:ilvl w:val="0"/>
          <w:numId w:val="10"/>
        </w:numPr>
        <w:spacing w:after="0" w:line="276" w:lineRule="auto"/>
        <w:outlineLvl w:val="2"/>
        <w:rPr>
          <w:rFonts w:asciiTheme="minorHAnsi" w:hAnsiTheme="minorHAnsi" w:cstheme="minorHAnsi"/>
          <w:b/>
          <w:szCs w:val="20"/>
        </w:rPr>
      </w:pPr>
      <w:r w:rsidRPr="00016073">
        <w:rPr>
          <w:rFonts w:asciiTheme="minorHAnsi" w:hAnsiTheme="minorHAnsi" w:cstheme="minorHAnsi"/>
          <w:b/>
          <w:szCs w:val="20"/>
        </w:rPr>
        <w:t>Analytic methods</w:t>
      </w:r>
    </w:p>
    <w:p w:rsidR="00B77C41" w:rsidRPr="00016073" w:rsidRDefault="00155E08" w:rsidP="00E81F46">
      <w:pPr>
        <w:pStyle w:val="Body2"/>
      </w:pPr>
      <w:r>
        <w:t>2b2.2</w:t>
      </w:r>
      <w:r w:rsidR="00B77C41" w:rsidRPr="00016073">
        <w:t>.</w:t>
      </w:r>
      <w:r>
        <w:t xml:space="preserve">  </w:t>
      </w:r>
      <w:r w:rsidR="00B77C41" w:rsidRPr="00016073">
        <w:t>Describe method of validity testing and rationale; if face validity, describe systematic assessment</w:t>
      </w:r>
    </w:p>
    <w:p w:rsidR="00302D11" w:rsidRPr="00E81F46" w:rsidRDefault="00302D11" w:rsidP="00396E7C">
      <w:pPr>
        <w:pStyle w:val="Body"/>
        <w:rPr>
          <w:i/>
          <w:iCs w:val="0"/>
        </w:rPr>
      </w:pPr>
      <w:r w:rsidRPr="00E81F46">
        <w:rPr>
          <w:i/>
          <w:iCs w:val="0"/>
        </w:rPr>
        <w:t xml:space="preserve">Reliability analysis #1 </w:t>
      </w:r>
    </w:p>
    <w:p w:rsidR="00302D11" w:rsidRPr="00016073" w:rsidRDefault="00302D11" w:rsidP="00396E7C">
      <w:pPr>
        <w:pStyle w:val="Body"/>
      </w:pPr>
      <w:r w:rsidRPr="00016073">
        <w:t>The DAVE 2 Project used a two-stage cluster sample design to examine the reliability of MDS 2.0 reporting</w:t>
      </w:r>
      <w:r w:rsidR="00026658">
        <w:t xml:space="preserve">.  </w:t>
      </w:r>
      <w:r w:rsidRPr="00016073">
        <w:t xml:space="preserve">Trained nurse reviewers selected a current resident with a recent assessment performed by the nursing </w:t>
      </w:r>
      <w:r w:rsidR="002B1628" w:rsidRPr="00016073">
        <w:t>home</w:t>
      </w:r>
      <w:r w:rsidRPr="00016073">
        <w:t xml:space="preserve"> within the last 14 days</w:t>
      </w:r>
      <w:r w:rsidR="00026658">
        <w:t xml:space="preserve">.  </w:t>
      </w:r>
      <w:r w:rsidRPr="00016073">
        <w:t>In the first stage of this review, the nurse reviewer conducted a blind reassessment of the resident using standard MDS assessment and coding procedures (examination of the medical record, observation of the resident, interview of staff, resident, and family, and use of coding criteria)</w:t>
      </w:r>
      <w:r w:rsidR="00026658">
        <w:t xml:space="preserve">.  </w:t>
      </w:r>
      <w:r w:rsidRPr="00016073">
        <w:t xml:space="preserve">In the second stage of this assessment (Stage 2), the DAVE 2 nurse reviewer’s assessment was compared to the corresponding nursing </w:t>
      </w:r>
      <w:r w:rsidR="002B1628" w:rsidRPr="00016073">
        <w:t>home</w:t>
      </w:r>
      <w:r w:rsidRPr="00016073">
        <w:t xml:space="preserve"> assessment and each discrepancy was reconciled, with the nursing </w:t>
      </w:r>
      <w:r w:rsidR="002B1628" w:rsidRPr="00016073">
        <w:t>home</w:t>
      </w:r>
      <w:r w:rsidRPr="00016073">
        <w:t xml:space="preserve"> assessor and the nurse reviewer agreeing on the appropriate response</w:t>
      </w:r>
      <w:r w:rsidR="00026658">
        <w:t xml:space="preserve">.  </w:t>
      </w:r>
      <w:r w:rsidRPr="00016073">
        <w:t xml:space="preserve">In addition to data entering </w:t>
      </w:r>
      <w:r w:rsidRPr="00016073">
        <w:lastRenderedPageBreak/>
        <w:t>the facility MDS code, the DAVE 2 code, and the reconciled code into the MDS-QC data entry software, the DAVE 2 nurse reviewer entered a “reason code” to attribute the cause of the discrepancy, per MDS item reviewed, to an established list of reasons.</w:t>
      </w:r>
    </w:p>
    <w:p w:rsidR="00302D11" w:rsidRPr="00016073" w:rsidRDefault="00302D11" w:rsidP="00396E7C">
      <w:pPr>
        <w:pStyle w:val="Body"/>
      </w:pPr>
      <w:r w:rsidRPr="00016073">
        <w:t>As part of the DAVE 2 project, Abt Associates used two methods to assess the reliability of the MDS 2.0 quality measures</w:t>
      </w:r>
      <w:r w:rsidR="00026658">
        <w:t xml:space="preserve">.  </w:t>
      </w:r>
      <w:r w:rsidRPr="00016073">
        <w:t>First, for each MDS data element, the discrepancy rate between the reconciled and original facility assessments was assessed</w:t>
      </w:r>
      <w:r w:rsidR="00026658">
        <w:t xml:space="preserve">.  </w:t>
      </w:r>
      <w:r w:rsidRPr="00016073">
        <w:t>Second, Abt reported the rate of discrepancies between each quality measure computed from facility data and its counterpart computed from reconciled data</w:t>
      </w:r>
      <w:r w:rsidR="00026658">
        <w:t xml:space="preserve">.  </w:t>
      </w:r>
      <w:r w:rsidRPr="00016073">
        <w:t>Discrepancies in the antipsychotic use QI/QM computation occur when the facility and reconciled data generate different results with regard to (1) the triggering/nontriggering of the measure or (2) the inclusion/exclusion of a case from computation of the measure.</w:t>
      </w:r>
    </w:p>
    <w:p w:rsidR="00302D11" w:rsidRPr="00E81F46" w:rsidRDefault="00302D11" w:rsidP="00396E7C">
      <w:pPr>
        <w:pStyle w:val="Body"/>
        <w:rPr>
          <w:i/>
          <w:iCs w:val="0"/>
        </w:rPr>
      </w:pPr>
      <w:r w:rsidRPr="00E81F46">
        <w:rPr>
          <w:i/>
          <w:iCs w:val="0"/>
        </w:rPr>
        <w:t>Reliability analysis #2</w:t>
      </w:r>
    </w:p>
    <w:p w:rsidR="00302D11" w:rsidRPr="00016073" w:rsidRDefault="00302D11" w:rsidP="00396E7C">
      <w:pPr>
        <w:pStyle w:val="Body"/>
        <w:rPr>
          <w:rFonts w:eastAsiaTheme="minorHAnsi"/>
        </w:rPr>
      </w:pPr>
      <w:r w:rsidRPr="00016073">
        <w:t xml:space="preserve">In </w:t>
      </w:r>
      <w:r w:rsidR="003A570E">
        <w:t xml:space="preserve">the </w:t>
      </w:r>
      <w:r w:rsidRPr="00016073">
        <w:t>RAND report, reliability was analyzed by inter-rater agreement between gold-standard (research) nurses and between facility and gold standard nurses</w:t>
      </w:r>
      <w:r w:rsidR="00026658">
        <w:t xml:space="preserve">.  </w:t>
      </w:r>
      <w:r w:rsidRPr="00016073">
        <w:rPr>
          <w:rFonts w:eastAsiaTheme="minorHAnsi"/>
        </w:rPr>
        <w:t>Saliba and Buchanan also examined response rates for interview items; user satisfaction and feedback on changes; and time to complete the assessment</w:t>
      </w:r>
      <w:r w:rsidR="00026658">
        <w:rPr>
          <w:rFonts w:eastAsiaTheme="minorHAnsi"/>
        </w:rPr>
        <w:t xml:space="preserve">.  </w:t>
      </w:r>
      <w:r w:rsidRPr="00016073">
        <w:rPr>
          <w:rFonts w:eastAsiaTheme="minorHAnsi"/>
        </w:rPr>
        <w:t>Quality Improvement Organizations were employed to identify gold-standard (research) nurses and recruit community nursing facilities to participate in the national evaluation</w:t>
      </w:r>
      <w:r w:rsidR="00026658">
        <w:rPr>
          <w:rFonts w:eastAsiaTheme="minorHAnsi"/>
        </w:rPr>
        <w:t xml:space="preserve">.  </w:t>
      </w:r>
      <w:r w:rsidRPr="00016073">
        <w:rPr>
          <w:rFonts w:eastAsiaTheme="minorHAnsi"/>
        </w:rPr>
        <w:t xml:space="preserve">The gold-standard nurses were trained in the MDS 3.0 instrument and, in turn, trained a facility nurse from each participating nursing </w:t>
      </w:r>
      <w:r w:rsidR="002B1628" w:rsidRPr="00016073">
        <w:rPr>
          <w:rFonts w:eastAsiaTheme="minorHAnsi"/>
        </w:rPr>
        <w:t>home</w:t>
      </w:r>
      <w:r w:rsidRPr="00016073">
        <w:rPr>
          <w:rFonts w:eastAsiaTheme="minorHAnsi"/>
        </w:rPr>
        <w:t xml:space="preserve"> in their home states</w:t>
      </w:r>
      <w:r w:rsidR="00026658">
        <w:rPr>
          <w:rFonts w:eastAsiaTheme="minorHAnsi"/>
        </w:rPr>
        <w:t xml:space="preserve">.  </w:t>
      </w:r>
      <w:r w:rsidRPr="00016073">
        <w:rPr>
          <w:rFonts w:eastAsiaTheme="minorHAnsi"/>
        </w:rPr>
        <w:t xml:space="preserve">Residents participating in the test were selected to capture a representative sample of short- and </w:t>
      </w:r>
      <w:r w:rsidR="00C2250E" w:rsidRPr="00016073">
        <w:rPr>
          <w:rFonts w:eastAsiaTheme="minorHAnsi"/>
        </w:rPr>
        <w:t>long-stay</w:t>
      </w:r>
      <w:r w:rsidRPr="00016073">
        <w:rPr>
          <w:rFonts w:eastAsiaTheme="minorHAnsi"/>
        </w:rPr>
        <w:t xml:space="preserve"> residents</w:t>
      </w:r>
      <w:r w:rsidR="00026658">
        <w:rPr>
          <w:rFonts w:eastAsiaTheme="minorHAnsi"/>
        </w:rPr>
        <w:t xml:space="preserve">.  </w:t>
      </w:r>
      <w:r w:rsidRPr="00016073">
        <w:rPr>
          <w:rFonts w:eastAsiaTheme="minorHAnsi"/>
        </w:rPr>
        <w:t>Quality measures using the MDS 2.0 and the MDS 3.0 items were calculated and then compared, with correlations and Kappas calculated.</w:t>
      </w:r>
    </w:p>
    <w:p w:rsidR="00302D11" w:rsidRPr="00E81F46" w:rsidRDefault="00302D11" w:rsidP="00396E7C">
      <w:pPr>
        <w:pStyle w:val="Body"/>
        <w:rPr>
          <w:i/>
          <w:iCs w:val="0"/>
        </w:rPr>
      </w:pPr>
      <w:r w:rsidRPr="00E81F46">
        <w:rPr>
          <w:i/>
          <w:iCs w:val="0"/>
        </w:rPr>
        <w:t>Reliability analysis #3</w:t>
      </w:r>
    </w:p>
    <w:p w:rsidR="00302D11" w:rsidRDefault="00302D11" w:rsidP="0087230C">
      <w:pPr>
        <w:pStyle w:val="Body"/>
      </w:pPr>
      <w:r w:rsidRPr="00016073">
        <w:t>To test the reliability of the measure, RTI used two different methods</w:t>
      </w:r>
      <w:r w:rsidR="00026658">
        <w:t xml:space="preserve">.  </w:t>
      </w:r>
      <w:r w:rsidRPr="00016073">
        <w:t>First, RTI evaluated the percentage of facilities showing large (three-standard-deviations-or-more) changes in their absolute quality measure score from quarter to quarter</w:t>
      </w:r>
      <w:r w:rsidR="00026658">
        <w:t xml:space="preserve">.  </w:t>
      </w:r>
      <w:r w:rsidRPr="00016073">
        <w:t>Second, RTI evaluated the percentage of facilities that changed in their percentile ranking (i.e., relative quality measure score) within 1 decile, between 1 and 2 deciles, between 2 and 3 deciles, and 3 or more deciles</w:t>
      </w:r>
      <w:r w:rsidR="00026658">
        <w:t xml:space="preserve">.  </w:t>
      </w:r>
      <w:r w:rsidRPr="00016073">
        <w:t>This second method is similar to the methods used by the University of Colorado to test the MDS 2.0 measure, in which they examined the percentage of facilities that had a change in ranking from one quarter to the next of at least 3 deciles</w:t>
      </w:r>
      <w:r w:rsidR="00A8252E">
        <w:t xml:space="preserve"> </w:t>
      </w:r>
      <w:r w:rsidR="003D56F8" w:rsidRPr="00016073">
        <w:t>(Brega</w:t>
      </w:r>
      <w:r w:rsidR="005922A1">
        <w:t> </w:t>
      </w:r>
      <w:r w:rsidR="003D56F8" w:rsidRPr="00016073">
        <w:t>et</w:t>
      </w:r>
      <w:r w:rsidR="005922A1">
        <w:t> </w:t>
      </w:r>
      <w:r w:rsidR="003D56F8" w:rsidRPr="00016073">
        <w:t>al.,</w:t>
      </w:r>
      <w:r w:rsidR="005922A1">
        <w:t> </w:t>
      </w:r>
      <w:r w:rsidR="003D56F8" w:rsidRPr="00016073">
        <w:t>2007)</w:t>
      </w:r>
      <w:r w:rsidR="001D7554">
        <w:t>.</w:t>
      </w:r>
      <w:r w:rsidRPr="00016073">
        <w:t xml:space="preserve"> To provide insight into the reliability of the MDS 3.0 version of the measure</w:t>
      </w:r>
      <w:r w:rsidR="001D7554">
        <w:t>,</w:t>
      </w:r>
      <w:r w:rsidRPr="00016073">
        <w:t xml:space="preserve"> RTI report</w:t>
      </w:r>
      <w:r w:rsidR="001D7554">
        <w:t>s</w:t>
      </w:r>
      <w:r w:rsidRPr="00016073">
        <w:t xml:space="preserve"> on change in facility-level quality measure scores for 2 pairs of adjacent full quarters: Quarter 3 2011 compared to Quarter 4 2011</w:t>
      </w:r>
      <w:r w:rsidR="00762865" w:rsidRPr="00016073">
        <w:t>, Quarter 4 20</w:t>
      </w:r>
      <w:r w:rsidR="0087230C">
        <w:t>1</w:t>
      </w:r>
      <w:r w:rsidR="00762865" w:rsidRPr="00016073">
        <w:t>1 compared to Quarter 1 2012 and Quarter 1 2012 compared to Quarter 2 2012</w:t>
      </w:r>
      <w:r w:rsidRPr="00016073">
        <w:t>.</w:t>
      </w:r>
    </w:p>
    <w:p w:rsidR="00C51ABD" w:rsidRPr="00016073" w:rsidRDefault="00C51ABD" w:rsidP="00396E7C">
      <w:pPr>
        <w:pStyle w:val="Body"/>
      </w:pPr>
      <w:r w:rsidRPr="005D180F">
        <w:t>Brega A, Hittle D, Goodrich G, Kramer A, Conway K, Levy C</w:t>
      </w:r>
      <w:r>
        <w:t xml:space="preserve">.  </w:t>
      </w:r>
      <w:r w:rsidRPr="005D180F">
        <w:t>Empirical review of publicly reported nursing home quality measures</w:t>
      </w:r>
      <w:r>
        <w:t xml:space="preserve">.  </w:t>
      </w:r>
      <w:r w:rsidRPr="005D180F">
        <w:t>Denver: Division of Health Care Policy and Research University of Colorado at Denver; Abt Associates, Inc, 2007</w:t>
      </w:r>
      <w:r>
        <w:t>.</w:t>
      </w:r>
    </w:p>
    <w:p w:rsidR="00B77C41" w:rsidRPr="00016073" w:rsidRDefault="00B77C41" w:rsidP="00E81F46">
      <w:pPr>
        <w:pStyle w:val="ListParagraph"/>
        <w:keepNext/>
        <w:keepLines/>
        <w:numPr>
          <w:ilvl w:val="0"/>
          <w:numId w:val="10"/>
        </w:numPr>
        <w:spacing w:after="0" w:line="276" w:lineRule="auto"/>
        <w:outlineLvl w:val="2"/>
        <w:rPr>
          <w:rFonts w:asciiTheme="minorHAnsi" w:hAnsiTheme="minorHAnsi" w:cstheme="minorHAnsi"/>
          <w:b/>
          <w:szCs w:val="20"/>
        </w:rPr>
      </w:pPr>
      <w:r w:rsidRPr="00016073">
        <w:rPr>
          <w:rFonts w:asciiTheme="minorHAnsi" w:hAnsiTheme="minorHAnsi" w:cstheme="minorHAnsi"/>
          <w:b/>
          <w:szCs w:val="20"/>
        </w:rPr>
        <w:t>Testing results</w:t>
      </w:r>
    </w:p>
    <w:p w:rsidR="00B77C41" w:rsidRPr="00016073" w:rsidRDefault="00B77C41" w:rsidP="00E81F46">
      <w:pPr>
        <w:pStyle w:val="Body2"/>
      </w:pPr>
      <w:r w:rsidRPr="00016073">
        <w:t>2a2.3</w:t>
      </w:r>
      <w:r w:rsidR="00026658">
        <w:t xml:space="preserve">.  </w:t>
      </w:r>
      <w:r w:rsidRPr="00016073">
        <w:t>Provide reliability statistics and assessment of adequacy in the context of norms for the test conducted</w:t>
      </w:r>
    </w:p>
    <w:p w:rsidR="0091444F" w:rsidRPr="00E81F46" w:rsidRDefault="0091444F" w:rsidP="00396E7C">
      <w:pPr>
        <w:pStyle w:val="Body"/>
        <w:rPr>
          <w:i/>
          <w:iCs w:val="0"/>
        </w:rPr>
      </w:pPr>
      <w:r w:rsidRPr="00E81F46">
        <w:rPr>
          <w:i/>
          <w:iCs w:val="0"/>
        </w:rPr>
        <w:t>Reliability analysis #1</w:t>
      </w:r>
    </w:p>
    <w:p w:rsidR="0091444F" w:rsidRPr="00016073" w:rsidRDefault="001D7554" w:rsidP="00396E7C">
      <w:pPr>
        <w:pStyle w:val="Body"/>
      </w:pPr>
      <w:r>
        <w:t xml:space="preserve">The </w:t>
      </w:r>
      <w:r w:rsidR="0091444F" w:rsidRPr="00016073">
        <w:t>DAVE2 project revealed that the two-stage discrepancy rate for the MDS 2.0 antipsychotic item is 8.4%</w:t>
      </w:r>
      <w:r w:rsidR="00026658">
        <w:t xml:space="preserve">.  </w:t>
      </w:r>
      <w:r w:rsidR="0091444F" w:rsidRPr="00016073">
        <w:t xml:space="preserve">The two-stage discrepancy rate is 0% for Schizophrenia, 1.2% for </w:t>
      </w:r>
      <w:r w:rsidR="007714D3" w:rsidRPr="00016073">
        <w:t>m</w:t>
      </w:r>
      <w:r w:rsidR="0091444F" w:rsidRPr="00016073">
        <w:t>anic depressive and between 36.7% and 64.2% for the ICD-9 codes collected in Section I Disease Diagnoses</w:t>
      </w:r>
      <w:r w:rsidR="00026658">
        <w:t xml:space="preserve">.  </w:t>
      </w:r>
      <w:r w:rsidR="0091444F" w:rsidRPr="00016073">
        <w:t>The two-stage discrepancy rate for antipsychotic use QI/QM is 7.5%, with 13.9% for high risk population and 3.6% for low-risk population</w:t>
      </w:r>
      <w:r w:rsidR="00026658">
        <w:t xml:space="preserve">.  </w:t>
      </w:r>
    </w:p>
    <w:p w:rsidR="0091444F" w:rsidRPr="00E81F46" w:rsidRDefault="0091444F" w:rsidP="00396E7C">
      <w:pPr>
        <w:pStyle w:val="Body"/>
        <w:rPr>
          <w:i/>
          <w:iCs w:val="0"/>
        </w:rPr>
      </w:pPr>
      <w:r w:rsidRPr="00E81F46">
        <w:rPr>
          <w:i/>
          <w:iCs w:val="0"/>
        </w:rPr>
        <w:t>Reliability analysis #2</w:t>
      </w:r>
    </w:p>
    <w:p w:rsidR="0091444F" w:rsidRPr="00016073" w:rsidRDefault="001D7554" w:rsidP="001D7554">
      <w:pPr>
        <w:pStyle w:val="Body"/>
      </w:pPr>
      <w:r>
        <w:t xml:space="preserve">The </w:t>
      </w:r>
      <w:r w:rsidR="0091444F" w:rsidRPr="00016073">
        <w:t>RAND report found agreement between MDS 3.0 assessors on diagnoses to be mixed</w:t>
      </w:r>
      <w:r w:rsidR="00026658">
        <w:t xml:space="preserve">.  </w:t>
      </w:r>
      <w:r w:rsidR="0091444F" w:rsidRPr="00016073">
        <w:t>For items on the form, reliability was either very good or excellent, indicating some gains from algorithms and revised diagnostic labels</w:t>
      </w:r>
      <w:r w:rsidR="00026658">
        <w:t xml:space="preserve">.  </w:t>
      </w:r>
      <w:r w:rsidR="0091444F" w:rsidRPr="00016073">
        <w:t>The addition of “other” under each organ system or condition group was less effective</w:t>
      </w:r>
      <w:r w:rsidR="00026658">
        <w:t xml:space="preserve">.  </w:t>
      </w:r>
      <w:r>
        <w:t>This r</w:t>
      </w:r>
      <w:r w:rsidR="0091444F" w:rsidRPr="00016073">
        <w:t>eview revealed that the diagnoses that were written in were often not grouped with the appropriate system or group on the form and that coders had moderate or poor agreement on these items</w:t>
      </w:r>
      <w:r w:rsidR="00026658">
        <w:t xml:space="preserve">.  </w:t>
      </w:r>
    </w:p>
    <w:p w:rsidR="0091444F" w:rsidRPr="00E81F46" w:rsidRDefault="0091444F" w:rsidP="00E03E22">
      <w:pPr>
        <w:pStyle w:val="Body"/>
        <w:keepNext/>
        <w:rPr>
          <w:i/>
          <w:iCs w:val="0"/>
        </w:rPr>
      </w:pPr>
      <w:r w:rsidRPr="00E81F46">
        <w:rPr>
          <w:i/>
          <w:iCs w:val="0"/>
        </w:rPr>
        <w:lastRenderedPageBreak/>
        <w:t>Reliability analysis #3</w:t>
      </w:r>
    </w:p>
    <w:p w:rsidR="0091444F" w:rsidRPr="00A8252E" w:rsidRDefault="0091444F" w:rsidP="00396E7C">
      <w:pPr>
        <w:pStyle w:val="Body"/>
      </w:pPr>
      <w:r w:rsidRPr="00016073">
        <w:t xml:space="preserve">On average, the majority of facilities improved or declined within one standard deviation of their QM score between one quarter </w:t>
      </w:r>
      <w:r w:rsidRPr="00A8252E">
        <w:t xml:space="preserve">and the next (average of </w:t>
      </w:r>
      <w:r w:rsidR="009F417A" w:rsidRPr="00A8252E">
        <w:t>73.5%).</w:t>
      </w:r>
      <w:r w:rsidR="00026658" w:rsidRPr="00A8252E">
        <w:t xml:space="preserve">  </w:t>
      </w:r>
      <w:r w:rsidRPr="00A8252E">
        <w:t xml:space="preserve">More facilities changed by between one or two standard deviations of their score (average of </w:t>
      </w:r>
      <w:r w:rsidR="009F417A" w:rsidRPr="00A8252E">
        <w:t>21.4%).</w:t>
      </w:r>
      <w:r w:rsidR="00026658" w:rsidRPr="00A8252E">
        <w:t xml:space="preserve">  </w:t>
      </w:r>
      <w:r w:rsidRPr="00A8252E">
        <w:t>Very few changed by 2-3 standard deviations (average 4.</w:t>
      </w:r>
      <w:r w:rsidR="003F2BFE" w:rsidRPr="00A8252E">
        <w:t>0</w:t>
      </w:r>
      <w:r w:rsidRPr="00A8252E">
        <w:t xml:space="preserve">%) and even fewer changed by over 3 standard deviations (average </w:t>
      </w:r>
      <w:r w:rsidR="009F417A" w:rsidRPr="00A8252E">
        <w:t>1.1%).</w:t>
      </w:r>
      <w:r w:rsidR="00026658" w:rsidRPr="00A8252E">
        <w:t xml:space="preserve">  </w:t>
      </w:r>
    </w:p>
    <w:p w:rsidR="0091444F" w:rsidRPr="00016073" w:rsidRDefault="0091444F" w:rsidP="00396E7C">
      <w:pPr>
        <w:pStyle w:val="Body"/>
      </w:pPr>
      <w:r w:rsidRPr="00A8252E">
        <w:t>In the second reliability analysis of MDS 3.0, RTI measured the magnitude of change in facility percentile ranking from quarter to quarter</w:t>
      </w:r>
      <w:r w:rsidR="00026658" w:rsidRPr="00A8252E">
        <w:t xml:space="preserve">.  </w:t>
      </w:r>
      <w:r w:rsidRPr="00A8252E">
        <w:t xml:space="preserve">Averaging across the </w:t>
      </w:r>
      <w:r w:rsidR="000D6BFF" w:rsidRPr="00A8252E">
        <w:t xml:space="preserve">three </w:t>
      </w:r>
      <w:r w:rsidRPr="00A8252E">
        <w:t xml:space="preserve">pairs of quarters, </w:t>
      </w:r>
      <w:r w:rsidR="008A4000" w:rsidRPr="00A8252E">
        <w:t>the vast majority (</w:t>
      </w:r>
      <w:r w:rsidR="009F417A" w:rsidRPr="00A8252E">
        <w:t>81.7%)</w:t>
      </w:r>
      <w:r w:rsidR="007714D3" w:rsidRPr="00A8252E">
        <w:t xml:space="preserve"> </w:t>
      </w:r>
      <w:r w:rsidRPr="00A8252E">
        <w:t xml:space="preserve">of facilities’ percentile ranking changed within 1 decile; </w:t>
      </w:r>
      <w:r w:rsidR="009F417A" w:rsidRPr="00A8252E">
        <w:t>12.9%</w:t>
      </w:r>
      <w:r w:rsidRPr="00A8252E">
        <w:t xml:space="preserve"> of facilities’ percentile ranking changed between 1 and 2 deciles; </w:t>
      </w:r>
      <w:r w:rsidR="009F417A" w:rsidRPr="00A8252E">
        <w:t>3.9%</w:t>
      </w:r>
      <w:r w:rsidRPr="00A8252E">
        <w:t xml:space="preserve"> of facilities’ ranking changed between 2 and 3 deciles; and </w:t>
      </w:r>
      <w:r w:rsidR="009F417A" w:rsidRPr="00A8252E">
        <w:t>1.5%</w:t>
      </w:r>
      <w:r w:rsidRPr="00A8252E">
        <w:t xml:space="preserve"> of facilities’ ranking changed by more than 3 deciles</w:t>
      </w:r>
      <w:r w:rsidR="00026658" w:rsidRPr="00A8252E">
        <w:t>.</w:t>
      </w:r>
      <w:r w:rsidR="00026658">
        <w:t xml:space="preserve">  </w:t>
      </w:r>
    </w:p>
    <w:p w:rsidR="00B77C41" w:rsidRPr="00016073" w:rsidRDefault="00B77C41"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Validity Testing</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Data sample</w:t>
      </w:r>
    </w:p>
    <w:p w:rsidR="00B77C41" w:rsidRPr="00016073" w:rsidRDefault="00B77C41" w:rsidP="00E81F46">
      <w:pPr>
        <w:pStyle w:val="Body2"/>
      </w:pPr>
      <w:r w:rsidRPr="00016073">
        <w:t>2b2.1</w:t>
      </w:r>
      <w:r w:rsidR="00026658">
        <w:t xml:space="preserve">.  </w:t>
      </w:r>
      <w:r w:rsidRPr="00016073">
        <w:t>Describe the data or sample including number of measured entities; number of</w:t>
      </w:r>
      <w:r w:rsidR="007C276D" w:rsidRPr="00016073">
        <w:t xml:space="preserve"> </w:t>
      </w:r>
      <w:r w:rsidRPr="00016073">
        <w:t>patients; dates of data; if a sample, characteristics of the entities included</w:t>
      </w:r>
    </w:p>
    <w:p w:rsidR="00656B9A" w:rsidRPr="00E81F46" w:rsidRDefault="00656B9A" w:rsidP="00396E7C">
      <w:pPr>
        <w:pStyle w:val="Body"/>
        <w:rPr>
          <w:i/>
          <w:iCs w:val="0"/>
        </w:rPr>
      </w:pPr>
      <w:r w:rsidRPr="00E81F46">
        <w:rPr>
          <w:i/>
          <w:iCs w:val="0"/>
        </w:rPr>
        <w:t xml:space="preserve">Validity analysis #1 </w:t>
      </w:r>
    </w:p>
    <w:p w:rsidR="00656B9A" w:rsidRPr="00016073" w:rsidRDefault="00B61848" w:rsidP="00396E7C">
      <w:pPr>
        <w:pStyle w:val="Body"/>
      </w:pPr>
      <w:r>
        <w:t xml:space="preserve">The </w:t>
      </w:r>
      <w:r w:rsidR="00656B9A" w:rsidRPr="00016073">
        <w:t>DAVE 2 project conducted by Abt Associates also tested the validity of MDS 2.0 QI/QM and the MDS 2.0 items underlying the measure</w:t>
      </w:r>
      <w:r w:rsidR="00026658">
        <w:t xml:space="preserve">.  </w:t>
      </w:r>
      <w:r w:rsidR="00656B9A" w:rsidRPr="00016073">
        <w:t>This project used a nationwide sample of randomly selected nursing facilities using MDS assessments for the period April 1 to December 31, 2006</w:t>
      </w:r>
      <w:r w:rsidR="00026658">
        <w:t xml:space="preserve">.  </w:t>
      </w:r>
      <w:r w:rsidR="00656B9A" w:rsidRPr="00016073">
        <w:t>DAVE 2 performed 173 two-stage reviews</w:t>
      </w:r>
      <w:r w:rsidR="00026658">
        <w:t xml:space="preserve">.  </w:t>
      </w:r>
      <w:r w:rsidR="00656B9A" w:rsidRPr="00016073">
        <w:t>The sample size (number of reviews) was 103 for the antipsychotic QI/QM</w:t>
      </w:r>
      <w:r w:rsidR="00026658">
        <w:t xml:space="preserve">.  </w:t>
      </w:r>
      <w:r w:rsidR="00FC287C" w:rsidRPr="00016073">
        <w:t>(1)</w:t>
      </w:r>
    </w:p>
    <w:p w:rsidR="00656B9A" w:rsidRPr="00E81F46" w:rsidRDefault="00656B9A" w:rsidP="00396E7C">
      <w:pPr>
        <w:pStyle w:val="Body"/>
        <w:rPr>
          <w:i/>
          <w:iCs w:val="0"/>
        </w:rPr>
      </w:pPr>
      <w:r w:rsidRPr="00E81F46">
        <w:rPr>
          <w:i/>
          <w:iCs w:val="0"/>
        </w:rPr>
        <w:t xml:space="preserve">Validity analysis #2 </w:t>
      </w:r>
    </w:p>
    <w:p w:rsidR="00656B9A" w:rsidRPr="00016073" w:rsidRDefault="00656B9A" w:rsidP="00396E7C">
      <w:pPr>
        <w:pStyle w:val="Body"/>
      </w:pPr>
      <w:r w:rsidRPr="00016073">
        <w:t>As part of the MDS 3.0 development process, RAND conducted a comparison between MDS 2.0 quality measure and MDS 3.0 quality measure</w:t>
      </w:r>
      <w:r w:rsidR="00026658">
        <w:t xml:space="preserve">.  </w:t>
      </w:r>
      <w:r w:rsidRPr="00016073">
        <w:t xml:space="preserve">A representative sample of for-profit and not-for-profit facilities and hospital-based and freestanding facilities was recruited for the study, which included 71 community nursing facilities in 8 states, 19 Veterans Affairs (VA) nursing homes, and 1,114 nursing </w:t>
      </w:r>
      <w:r w:rsidR="002B1628" w:rsidRPr="00016073">
        <w:t>home</w:t>
      </w:r>
      <w:r w:rsidRPr="00016073">
        <w:t xml:space="preserve"> residents for the antipsychotic QI/QM</w:t>
      </w:r>
      <w:r w:rsidR="00026658">
        <w:t xml:space="preserve">.  </w:t>
      </w:r>
      <w:r w:rsidR="00FC287C" w:rsidRPr="00016073">
        <w:t>(2)</w:t>
      </w:r>
    </w:p>
    <w:p w:rsidR="00656B9A" w:rsidRPr="00E81F46" w:rsidRDefault="00656B9A" w:rsidP="00396E7C">
      <w:pPr>
        <w:pStyle w:val="Body"/>
        <w:rPr>
          <w:i/>
          <w:iCs w:val="0"/>
        </w:rPr>
      </w:pPr>
      <w:r w:rsidRPr="00E81F46">
        <w:rPr>
          <w:i/>
          <w:iCs w:val="0"/>
        </w:rPr>
        <w:t xml:space="preserve">Validity analysis #3 </w:t>
      </w:r>
    </w:p>
    <w:p w:rsidR="00656B9A" w:rsidRPr="00A8252E" w:rsidRDefault="00656B9A" w:rsidP="00396E7C">
      <w:pPr>
        <w:pStyle w:val="Body"/>
      </w:pPr>
      <w:r w:rsidRPr="00016073">
        <w:t>On October 1, 2010, the Centers for Medicare and Medicaid Services (CMS) implemented Version 3.0 of the Minimum Data Set (MDS) Resident Assessment Instrument (RAI) (under Federal regulations at 42 CFR 483.20 (b)(1)(xviii), (g), and (h))</w:t>
      </w:r>
      <w:r w:rsidR="00026658">
        <w:t xml:space="preserve">.  </w:t>
      </w:r>
      <w:r w:rsidRPr="00016073">
        <w:t>In the analysis of measure validity, MDS 3.0 assessments submitted by nursing homes nationwide were analyzed by RTI</w:t>
      </w:r>
      <w:r w:rsidR="00026658">
        <w:t xml:space="preserve">.  </w:t>
      </w:r>
      <w:r w:rsidRPr="00016073">
        <w:t xml:space="preserve">The primary data for validity analysis was the episode file for Quarter </w:t>
      </w:r>
      <w:r w:rsidR="001478E6" w:rsidRPr="00016073">
        <w:t>2 2012</w:t>
      </w:r>
      <w:r w:rsidR="00026658">
        <w:t xml:space="preserve">.  </w:t>
      </w:r>
      <w:r w:rsidRPr="00016073">
        <w:t xml:space="preserve">The total number of </w:t>
      </w:r>
      <w:r w:rsidR="00C2250E" w:rsidRPr="00016073">
        <w:t>long-stay</w:t>
      </w:r>
      <w:r w:rsidRPr="00016073">
        <w:t xml:space="preserve"> resident episodes in this time </w:t>
      </w:r>
      <w:r w:rsidRPr="00A8252E">
        <w:t xml:space="preserve">period was </w:t>
      </w:r>
      <w:r w:rsidR="009F417A" w:rsidRPr="00A8252E">
        <w:t>1,184,861</w:t>
      </w:r>
      <w:r w:rsidR="00026658" w:rsidRPr="00A8252E">
        <w:t xml:space="preserve">.  </w:t>
      </w:r>
      <w:r w:rsidRPr="00A8252E">
        <w:t xml:space="preserve">The number of resident episodes that met the criteria for being included in the denominator of this quality measure equaled </w:t>
      </w:r>
      <w:r w:rsidR="009F417A" w:rsidRPr="00A8252E">
        <w:t>1,093,902, or 92.3%</w:t>
      </w:r>
      <w:r w:rsidRPr="00A8252E">
        <w:t xml:space="preserve"> of all resident episodes from this quarter</w:t>
      </w:r>
      <w:r w:rsidR="00026658" w:rsidRPr="00A8252E">
        <w:t xml:space="preserve">.  </w:t>
      </w:r>
      <w:r w:rsidRPr="00A8252E">
        <w:t xml:space="preserve">There were </w:t>
      </w:r>
      <w:r w:rsidR="009F417A" w:rsidRPr="00A8252E">
        <w:t>13,472</w:t>
      </w:r>
      <w:r w:rsidR="004F3558" w:rsidRPr="00A8252E">
        <w:t xml:space="preserve"> </w:t>
      </w:r>
      <w:r w:rsidRPr="00A8252E">
        <w:t>facilities (</w:t>
      </w:r>
      <w:r w:rsidR="009F417A" w:rsidRPr="00A8252E">
        <w:t>85.1</w:t>
      </w:r>
      <w:r w:rsidR="00275595" w:rsidRPr="00A8252E">
        <w:t xml:space="preserve">% </w:t>
      </w:r>
      <w:r w:rsidRPr="00A8252E">
        <w:t xml:space="preserve">of facilities) who were eligible to report this quality measure (i.e., had at least 30 residents who qualified for the denominator of this measure.)  To track the QM over multiple quarters, we used MDS 3.0 assessments submitted by nursing homes nationwide in Quarter </w:t>
      </w:r>
      <w:r w:rsidR="001478E6" w:rsidRPr="00A8252E">
        <w:t>3 2011</w:t>
      </w:r>
      <w:r w:rsidRPr="00A8252E">
        <w:t xml:space="preserve"> through Quarter </w:t>
      </w:r>
      <w:r w:rsidR="00762865" w:rsidRPr="00A8252E">
        <w:t>2</w:t>
      </w:r>
      <w:r w:rsidRPr="00A8252E">
        <w:t xml:space="preserve"> 201</w:t>
      </w:r>
      <w:r w:rsidR="00762865" w:rsidRPr="00A8252E">
        <w:t>2</w:t>
      </w:r>
      <w:r w:rsidRPr="00A8252E">
        <w:t xml:space="preserve">, allowing for a comparison of quality measures scores across </w:t>
      </w:r>
      <w:r w:rsidR="00762865" w:rsidRPr="00A8252E">
        <w:t>quarters</w:t>
      </w:r>
      <w:r w:rsidR="00026658" w:rsidRPr="00A8252E">
        <w:t xml:space="preserve">.  </w:t>
      </w:r>
      <w:r w:rsidRPr="00A8252E">
        <w:t xml:space="preserve">The average number of </w:t>
      </w:r>
      <w:r w:rsidR="00C2250E" w:rsidRPr="00A8252E">
        <w:t>long-stay</w:t>
      </w:r>
      <w:r w:rsidRPr="00A8252E">
        <w:t xml:space="preserve"> resident episodes </w:t>
      </w:r>
      <w:r w:rsidR="00762865" w:rsidRPr="00A8252E">
        <w:t>between Quarter 3 2011 and Quarter 2 2012</w:t>
      </w:r>
      <w:r w:rsidR="001478E6" w:rsidRPr="00A8252E">
        <w:t xml:space="preserve"> used for </w:t>
      </w:r>
      <w:r w:rsidRPr="00A8252E">
        <w:t xml:space="preserve">of this quality measure in each quarter equaled </w:t>
      </w:r>
      <w:r w:rsidR="009F417A" w:rsidRPr="00A8252E">
        <w:t>1,104,317</w:t>
      </w:r>
      <w:r w:rsidR="004F3558" w:rsidRPr="00A8252E">
        <w:t xml:space="preserve">, or </w:t>
      </w:r>
      <w:r w:rsidR="009F417A" w:rsidRPr="00A8252E">
        <w:t>92.2</w:t>
      </w:r>
      <w:r w:rsidR="004F3558" w:rsidRPr="00A8252E">
        <w:t xml:space="preserve">% </w:t>
      </w:r>
      <w:r w:rsidRPr="00A8252E">
        <w:t>of all resident episodes from those quarters</w:t>
      </w:r>
      <w:r w:rsidR="00026658" w:rsidRPr="00A8252E">
        <w:t xml:space="preserve">.  </w:t>
      </w:r>
      <w:r w:rsidRPr="00A8252E">
        <w:t xml:space="preserve">There were an average of </w:t>
      </w:r>
      <w:r w:rsidR="009F417A" w:rsidRPr="00A8252E">
        <w:t>13,516</w:t>
      </w:r>
      <w:r w:rsidRPr="00A8252E">
        <w:t xml:space="preserve"> facilities who were eligible to report this quality measure (i.e., had at least 30 residents who qualified for the denominator of this measure) in each quarter</w:t>
      </w:r>
      <w:r w:rsidR="00026658" w:rsidRPr="00A8252E">
        <w:t xml:space="preserve">.  </w:t>
      </w:r>
      <w:r w:rsidR="00FC287C" w:rsidRPr="00A8252E">
        <w:t>(3)</w:t>
      </w:r>
    </w:p>
    <w:p w:rsidR="00A265E3" w:rsidRPr="00016073" w:rsidRDefault="00656B9A" w:rsidP="00396E7C">
      <w:pPr>
        <w:pStyle w:val="Body"/>
      </w:pPr>
      <w:r w:rsidRPr="00A8252E">
        <w:t xml:space="preserve">The sample used to calculate convergent validity between this QM and Percent of Short-Stay Residents Who Newly Received an Antipsychotic Medication is the number of facilities that can report both measures in Quarter </w:t>
      </w:r>
      <w:r w:rsidR="00762865" w:rsidRPr="00A8252E">
        <w:t>2 2012</w:t>
      </w:r>
      <w:r w:rsidRPr="00A8252E">
        <w:t xml:space="preserve"> (N = </w:t>
      </w:r>
      <w:r w:rsidR="009F417A" w:rsidRPr="00A8252E">
        <w:t>9,480)</w:t>
      </w:r>
      <w:r w:rsidR="00D9138D" w:rsidRPr="00A8252E">
        <w:t>.</w:t>
      </w:r>
      <w:r w:rsidR="00D9138D">
        <w:t xml:space="preserve"> </w:t>
      </w:r>
    </w:p>
    <w:p w:rsidR="00656B9A" w:rsidRPr="00016073" w:rsidRDefault="00656B9A" w:rsidP="00E81F46">
      <w:pPr>
        <w:pStyle w:val="List1"/>
      </w:pPr>
      <w:r w:rsidRPr="00016073">
        <w:t>1</w:t>
      </w:r>
      <w:r w:rsidR="00026658">
        <w:t xml:space="preserve">.  </w:t>
      </w:r>
      <w:r w:rsidR="00396E7C">
        <w:tab/>
      </w:r>
      <w:r w:rsidRPr="00016073">
        <w:t>Abt Associates, Inc.; Stepwise Systems, Inc.; Qualidigm</w:t>
      </w:r>
      <w:r w:rsidR="00026658">
        <w:t xml:space="preserve">.  </w:t>
      </w:r>
      <w:r w:rsidRPr="00016073">
        <w:t>Data Assessment and Verification (DAVE 2) project—MDS two-stage discrepancy findings, April–December 2006</w:t>
      </w:r>
      <w:r w:rsidR="00026658">
        <w:t xml:space="preserve">.  </w:t>
      </w:r>
      <w:r w:rsidRPr="00016073">
        <w:t>Cambridge, MA: Abt Associates, Inc, 2007.</w:t>
      </w:r>
    </w:p>
    <w:p w:rsidR="00656B9A" w:rsidRPr="00016073" w:rsidRDefault="00656B9A" w:rsidP="00E81F46">
      <w:pPr>
        <w:pStyle w:val="List1"/>
      </w:pPr>
      <w:r w:rsidRPr="00016073">
        <w:lastRenderedPageBreak/>
        <w:t>2</w:t>
      </w:r>
      <w:r w:rsidR="00026658">
        <w:t xml:space="preserve">.  </w:t>
      </w:r>
      <w:r w:rsidR="00396E7C">
        <w:tab/>
      </w:r>
      <w:r w:rsidRPr="00016073">
        <w:t>Saliba D, Buchanan J</w:t>
      </w:r>
      <w:r w:rsidR="00026658">
        <w:t xml:space="preserve">.  </w:t>
      </w:r>
      <w:r w:rsidRPr="00016073">
        <w:t>Development and validation of a revised nursing home assessment tool: MDS 3.0</w:t>
      </w:r>
      <w:r w:rsidR="00026658">
        <w:t xml:space="preserve">.  </w:t>
      </w:r>
      <w:r w:rsidRPr="00016073">
        <w:t>Contract No</w:t>
      </w:r>
      <w:r w:rsidR="00026658">
        <w:t xml:space="preserve">.  </w:t>
      </w:r>
      <w:r w:rsidRPr="00016073">
        <w:t>500-00-0027/Task Order #2</w:t>
      </w:r>
      <w:r w:rsidR="00026658">
        <w:t xml:space="preserve">.  </w:t>
      </w:r>
      <w:r w:rsidRPr="00016073">
        <w:t>Santa Monica, CA: Rand Corporation, Apr 2008</w:t>
      </w:r>
      <w:r w:rsidR="00026658">
        <w:t xml:space="preserve">.  </w:t>
      </w:r>
      <w:r w:rsidRPr="00016073">
        <w:t xml:space="preserve">Available from </w:t>
      </w:r>
      <w:hyperlink r:id="rId23" w:history="1">
        <w:r w:rsidRPr="00016073">
          <w:rPr>
            <w:rStyle w:val="Hyperlink"/>
            <w:rFonts w:cstheme="majorBidi"/>
          </w:rPr>
          <w:t>http://www.cms.hhs.gov/NursingHomeQualityInits/Downloads/MDS30FinalReport.pdf</w:t>
        </w:r>
      </w:hyperlink>
      <w:r w:rsidRPr="00016073">
        <w:t>.</w:t>
      </w:r>
    </w:p>
    <w:p w:rsidR="00FC287C" w:rsidRPr="00016073" w:rsidRDefault="00656B9A" w:rsidP="00E81F46">
      <w:pPr>
        <w:pStyle w:val="List1"/>
        <w:rPr>
          <w:i/>
        </w:rPr>
      </w:pPr>
      <w:r w:rsidRPr="00016073">
        <w:rPr>
          <w:rFonts w:cstheme="majorBidi"/>
        </w:rPr>
        <w:t>3</w:t>
      </w:r>
      <w:r w:rsidR="00026658">
        <w:rPr>
          <w:rFonts w:cstheme="majorBidi"/>
        </w:rPr>
        <w:t xml:space="preserve">.  </w:t>
      </w:r>
      <w:r w:rsidR="00396E7C">
        <w:rPr>
          <w:rFonts w:cstheme="majorBidi"/>
        </w:rPr>
        <w:tab/>
      </w:r>
      <w:r w:rsidRPr="00016073">
        <w:t xml:space="preserve">RTI Analysis of </w:t>
      </w:r>
      <w:r w:rsidRPr="00016073">
        <w:rPr>
          <w:rFonts w:cstheme="majorBidi"/>
        </w:rPr>
        <w:t>MDS</w:t>
      </w:r>
      <w:r w:rsidRPr="00016073">
        <w:t xml:space="preserve"> 3.0 Data</w:t>
      </w:r>
      <w:r w:rsidR="00A265E3" w:rsidRPr="00016073">
        <w:t>(</w:t>
      </w:r>
      <w:r w:rsidR="004F3558" w:rsidRPr="00016073">
        <w:t>ykaganova\qm_quarter_5_6\complete\nh_031_10.log; ykaganova\tz\quarter_4_5_complete\nh_031_10.log; ykaganova\tz\quarter_3_4_complete\nh_031_10.log</w:t>
      </w:r>
      <w:r w:rsidR="000B7E14" w:rsidRPr="00016073">
        <w:t>;</w:t>
      </w:r>
      <w:r w:rsidR="00A6657E" w:rsidRPr="00016073">
        <w:t xml:space="preserve"> ykaganova\tz\quarter_6_7_complete\ntz53\ntz53_request.log; </w:t>
      </w:r>
      <w:r w:rsidR="000B7E14" w:rsidRPr="00016073">
        <w:t xml:space="preserve"> ykaganova\tz\quarter_6_7_complete\ntz54\ntz54_request.log; </w:t>
      </w:r>
      <w:r w:rsidR="004F3558" w:rsidRPr="00016073">
        <w:t>ykaganova\tz\quarter_6_7_complete\ntz56\ntz55_request.log;</w:t>
      </w:r>
      <w:r w:rsidR="00FC287C" w:rsidRPr="00016073">
        <w:t>)</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Analytic method</w:t>
      </w:r>
    </w:p>
    <w:p w:rsidR="00B77C41" w:rsidRPr="00016073" w:rsidRDefault="00155E08" w:rsidP="00E81F46">
      <w:pPr>
        <w:pStyle w:val="Body2"/>
      </w:pPr>
      <w:r>
        <w:t>2b2.2</w:t>
      </w:r>
      <w:r w:rsidR="00B77C41" w:rsidRPr="00016073">
        <w:t>.</w:t>
      </w:r>
      <w:r>
        <w:t xml:space="preserve">  </w:t>
      </w:r>
      <w:r w:rsidR="00B77C41" w:rsidRPr="00016073">
        <w:t>Describe method of validity testing and rationale; if face validity, describe systematic assessment</w:t>
      </w:r>
    </w:p>
    <w:p w:rsidR="002703F9" w:rsidRPr="00E81F46" w:rsidRDefault="002703F9" w:rsidP="00396E7C">
      <w:pPr>
        <w:pStyle w:val="Body"/>
        <w:rPr>
          <w:i/>
          <w:iCs w:val="0"/>
        </w:rPr>
      </w:pPr>
      <w:r w:rsidRPr="00E81F46">
        <w:rPr>
          <w:i/>
          <w:iCs w:val="0"/>
        </w:rPr>
        <w:t xml:space="preserve">Validity analysis #1 </w:t>
      </w:r>
    </w:p>
    <w:p w:rsidR="002703F9" w:rsidRPr="00016073" w:rsidRDefault="00077483" w:rsidP="00396E7C">
      <w:pPr>
        <w:pStyle w:val="Body"/>
      </w:pPr>
      <w:r>
        <w:t xml:space="preserve">The </w:t>
      </w:r>
      <w:r w:rsidR="002703F9" w:rsidRPr="00016073">
        <w:t>DAVE2 project included Retrospective Medical Record Reviews (RMRRs) where the DAVE 2 nurse reviewer selects an assessment that has been completed by the NH in the last 30 days</w:t>
      </w:r>
      <w:r w:rsidR="00026658">
        <w:t xml:space="preserve">.  </w:t>
      </w:r>
      <w:r w:rsidR="002703F9" w:rsidRPr="00016073">
        <w:t>The nurse reviewer then reviews the medical record for the assessment timeframe in attempt to verify information recorded on the MDS assessment, and notes any discrepancies</w:t>
      </w:r>
      <w:r w:rsidR="00026658">
        <w:t xml:space="preserve">.  </w:t>
      </w:r>
      <w:r w:rsidR="002703F9" w:rsidRPr="00016073">
        <w:t>An RMRR is based solely upon information in the medical record with no resident observation or staff or resident interviews, and the resident may have been discharged before the accuracy review</w:t>
      </w:r>
      <w:r w:rsidR="00026658">
        <w:t xml:space="preserve">.  </w:t>
      </w:r>
      <w:r w:rsidR="002703F9" w:rsidRPr="00016073">
        <w:t>The original DAVE project only performed RMRRs for MDS assessments</w:t>
      </w:r>
      <w:r w:rsidR="00026658">
        <w:t xml:space="preserve">.  </w:t>
      </w:r>
      <w:r w:rsidR="002703F9" w:rsidRPr="00016073">
        <w:t>The DAVE 2 project has extended RMRR accuracy review to re-entry and discharge tracking forms, in addition to assessments.</w:t>
      </w:r>
    </w:p>
    <w:p w:rsidR="002703F9" w:rsidRPr="00E81F46" w:rsidRDefault="002703F9" w:rsidP="00396E7C">
      <w:pPr>
        <w:pStyle w:val="Body"/>
        <w:rPr>
          <w:i/>
          <w:iCs w:val="0"/>
        </w:rPr>
      </w:pPr>
      <w:r w:rsidRPr="00E81F46">
        <w:rPr>
          <w:i/>
          <w:iCs w:val="0"/>
        </w:rPr>
        <w:t xml:space="preserve">Validity analysis #2 </w:t>
      </w:r>
    </w:p>
    <w:p w:rsidR="002703F9" w:rsidRPr="00016073" w:rsidRDefault="002703F9" w:rsidP="00396E7C">
      <w:pPr>
        <w:pStyle w:val="Body"/>
      </w:pPr>
      <w:r w:rsidRPr="00016073">
        <w:t>In RAND’s project, MDS 2.0-based antipsychotic QI was compared with the MDS 3.0-based measure</w:t>
      </w:r>
      <w:r w:rsidR="00026658">
        <w:t xml:space="preserve">.  </w:t>
      </w:r>
      <w:r w:rsidRPr="00016073">
        <w:t>Agreement rate, kappa and correlation were calculated for the study sample.</w:t>
      </w:r>
    </w:p>
    <w:p w:rsidR="002703F9" w:rsidRPr="00E81F46" w:rsidRDefault="002703F9" w:rsidP="002703F9">
      <w:pPr>
        <w:spacing w:before="0" w:after="0"/>
        <w:rPr>
          <w:rFonts w:asciiTheme="minorHAnsi" w:eastAsiaTheme="minorHAnsi" w:hAnsiTheme="minorHAnsi" w:cstheme="majorBidi"/>
          <w:i/>
          <w:iCs/>
          <w:color w:val="0000FF"/>
          <w:sz w:val="20"/>
          <w:szCs w:val="20"/>
        </w:rPr>
      </w:pPr>
      <w:r w:rsidRPr="00E81F46">
        <w:rPr>
          <w:rFonts w:asciiTheme="minorHAnsi" w:eastAsiaTheme="minorHAnsi" w:hAnsiTheme="minorHAnsi" w:cstheme="majorBidi"/>
          <w:i/>
          <w:iCs/>
          <w:color w:val="0000FF"/>
          <w:sz w:val="20"/>
          <w:szCs w:val="20"/>
        </w:rPr>
        <w:t xml:space="preserve">Validity analysis #3 </w:t>
      </w:r>
    </w:p>
    <w:p w:rsidR="002703F9" w:rsidRPr="00016073" w:rsidRDefault="002703F9" w:rsidP="00396E7C">
      <w:pPr>
        <w:pStyle w:val="Body"/>
      </w:pPr>
      <w:r w:rsidRPr="00016073">
        <w:t>With regard to convergent validity, RTI examined whether a facility’s percentile rank on one quality measure in a measure group was correlated with its percentile rank on another quality measure in the same clinically-related group (e.g</w:t>
      </w:r>
      <w:r w:rsidR="00026658">
        <w:t xml:space="preserve">.  </w:t>
      </w:r>
      <w:r w:rsidRPr="00016073">
        <w:t>the long-stay and short-stay antipsychotic medication quality measures)</w:t>
      </w:r>
      <w:r w:rsidR="00026658">
        <w:t xml:space="preserve">.  </w:t>
      </w:r>
    </w:p>
    <w:p w:rsidR="00A265E3" w:rsidRPr="00016073" w:rsidRDefault="00A265E3" w:rsidP="00396E7C">
      <w:pPr>
        <w:pStyle w:val="Body"/>
      </w:pPr>
      <w:r w:rsidRPr="00016073">
        <w:t>To explore the question of whether characteristics of individual states, such as payment policies or demographics, might be a source of variation in facility score, an analysis focused on one-way analysis of variance (ANOVA) to examine the amount of variance in this QM explained by the state in which the facility was located.</w:t>
      </w:r>
    </w:p>
    <w:p w:rsidR="002703F9" w:rsidRPr="00016073" w:rsidRDefault="002703F9" w:rsidP="00396E7C">
      <w:pPr>
        <w:pStyle w:val="Body"/>
      </w:pPr>
      <w:r w:rsidRPr="00016073">
        <w:t xml:space="preserve">To address an interest in whether seasonal variation might play a role in the score for this QM, RTI examined the national mean and median QM scores between Quarter </w:t>
      </w:r>
      <w:r w:rsidR="00354C75" w:rsidRPr="00016073">
        <w:t xml:space="preserve">3 </w:t>
      </w:r>
      <w:r w:rsidR="00762865" w:rsidRPr="00016073">
        <w:t xml:space="preserve">2011 </w:t>
      </w:r>
      <w:r w:rsidRPr="00016073">
        <w:t xml:space="preserve">and Quarter </w:t>
      </w:r>
      <w:r w:rsidR="00762865" w:rsidRPr="00016073">
        <w:t>2 2012</w:t>
      </w:r>
      <w:r w:rsidRPr="00016073">
        <w:t>.</w:t>
      </w:r>
    </w:p>
    <w:p w:rsidR="002703F9" w:rsidRPr="00016073" w:rsidRDefault="002703F9" w:rsidP="00396E7C">
      <w:pPr>
        <w:pStyle w:val="Body"/>
      </w:pPr>
      <w:r w:rsidRPr="00016073">
        <w:t>In addition, RTI compared the frequency of adverse outcomes (e.g</w:t>
      </w:r>
      <w:r w:rsidR="00026658">
        <w:t xml:space="preserve">.  </w:t>
      </w:r>
      <w:r w:rsidRPr="00016073">
        <w:t>falls) between long-stay nursing home residents receiving antipsychotic medications and those who are not receiving antipsychotic medications</w:t>
      </w:r>
      <w:r w:rsidR="00026658">
        <w:t xml:space="preserve">.  </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Testing results</w:t>
      </w:r>
    </w:p>
    <w:p w:rsidR="00B77C41" w:rsidRPr="00016073" w:rsidRDefault="00B77C41" w:rsidP="00E81F46">
      <w:pPr>
        <w:pStyle w:val="Body2"/>
      </w:pPr>
      <w:r w:rsidRPr="00016073">
        <w:t>2b2.3</w:t>
      </w:r>
      <w:r w:rsidR="00026658">
        <w:t xml:space="preserve">.  </w:t>
      </w:r>
      <w:r w:rsidRPr="00016073">
        <w:t>(Provide statistical results and assessment of adequacy in the context of norms for the test conducted; if face validity, describe results of systematic assessment)</w:t>
      </w:r>
    </w:p>
    <w:p w:rsidR="002703F9" w:rsidRPr="00E81F46" w:rsidRDefault="002703F9" w:rsidP="00396E7C">
      <w:pPr>
        <w:pStyle w:val="Body"/>
        <w:rPr>
          <w:i/>
          <w:iCs w:val="0"/>
        </w:rPr>
      </w:pPr>
      <w:r w:rsidRPr="00E81F46">
        <w:rPr>
          <w:i/>
          <w:iCs w:val="0"/>
        </w:rPr>
        <w:t xml:space="preserve">Validity analysis #1 </w:t>
      </w:r>
    </w:p>
    <w:p w:rsidR="002703F9" w:rsidRPr="00016073" w:rsidRDefault="00077483" w:rsidP="00396E7C">
      <w:pPr>
        <w:pStyle w:val="Body"/>
      </w:pPr>
      <w:r>
        <w:t xml:space="preserve">The </w:t>
      </w:r>
      <w:r w:rsidR="002703F9" w:rsidRPr="00016073">
        <w:t>DAVE2</w:t>
      </w:r>
      <w:r>
        <w:t xml:space="preserve"> project</w:t>
      </w:r>
      <w:r w:rsidR="002703F9" w:rsidRPr="00016073">
        <w:t xml:space="preserve"> found the RMRR discrepancy rate for antipsychotic use to be 2.9%</w:t>
      </w:r>
      <w:r w:rsidR="00026658">
        <w:t xml:space="preserve">.  </w:t>
      </w:r>
      <w:r w:rsidR="002703F9" w:rsidRPr="00016073">
        <w:t>As for the disease diagnoses,  the RMRR discrepancy rate is 0.8% for Schizophrenia, 0.2% for Manic depressive and between 13.2% to 22.7% for the ICD-9 codes collected in Section I Disease Diagnoses</w:t>
      </w:r>
      <w:r w:rsidR="00026658">
        <w:t xml:space="preserve">.  </w:t>
      </w:r>
      <w:r w:rsidR="002703F9" w:rsidRPr="00016073">
        <w:t>For the antipsychotic QI/QM, the RMRR discrepancy rate is 4.6% overall, 7.0% for low risk and 3.5% for high risk.</w:t>
      </w:r>
    </w:p>
    <w:p w:rsidR="002703F9" w:rsidRPr="00E81F46" w:rsidRDefault="002703F9" w:rsidP="00396E7C">
      <w:pPr>
        <w:pStyle w:val="Body"/>
        <w:rPr>
          <w:i/>
          <w:iCs w:val="0"/>
        </w:rPr>
      </w:pPr>
      <w:r w:rsidRPr="00E81F46">
        <w:rPr>
          <w:i/>
          <w:iCs w:val="0"/>
        </w:rPr>
        <w:lastRenderedPageBreak/>
        <w:t xml:space="preserve">Validity analysis #2 </w:t>
      </w:r>
    </w:p>
    <w:p w:rsidR="002703F9" w:rsidRPr="00016073" w:rsidRDefault="00077483" w:rsidP="00396E7C">
      <w:pPr>
        <w:pStyle w:val="Body"/>
      </w:pPr>
      <w:r>
        <w:t xml:space="preserve">The </w:t>
      </w:r>
      <w:r w:rsidR="002703F9" w:rsidRPr="00016073">
        <w:t>RAND report indicated very high agreement between MDS 2.0-based antipsychotic use measure and the MDS3.0-based measure</w:t>
      </w:r>
      <w:r w:rsidR="00026658">
        <w:t xml:space="preserve">.  </w:t>
      </w:r>
      <w:r w:rsidR="002703F9" w:rsidRPr="00016073">
        <w:t>The agreement rate is about 99%, the kappa is 0.96 and the correlation is also 0.96.</w:t>
      </w:r>
    </w:p>
    <w:p w:rsidR="002703F9" w:rsidRPr="00E81F46" w:rsidRDefault="002703F9" w:rsidP="00E81F46">
      <w:pPr>
        <w:pStyle w:val="Body"/>
        <w:keepNext/>
        <w:rPr>
          <w:i/>
          <w:iCs w:val="0"/>
        </w:rPr>
      </w:pPr>
      <w:r w:rsidRPr="00E81F46">
        <w:rPr>
          <w:i/>
          <w:iCs w:val="0"/>
        </w:rPr>
        <w:t xml:space="preserve">Validity analysis #3 </w:t>
      </w:r>
    </w:p>
    <w:p w:rsidR="002703F9" w:rsidRPr="00A8252E" w:rsidRDefault="002703F9" w:rsidP="00396E7C">
      <w:pPr>
        <w:pStyle w:val="Body"/>
      </w:pPr>
      <w:r w:rsidRPr="00016073">
        <w:t xml:space="preserve">With regard to convergent validity, RTI found that the correlation between the facility’s percentile rank on the long-stay and short-stay antipsychotic medication quality measures was positive and statistically significant (p&lt;0.001) in Quarter </w:t>
      </w:r>
      <w:r w:rsidR="00634FD6" w:rsidRPr="00016073">
        <w:t>2 201</w:t>
      </w:r>
      <w:r w:rsidR="00634FD6" w:rsidRPr="00A8252E">
        <w:t xml:space="preserve">2 </w:t>
      </w:r>
      <w:r w:rsidRPr="00A8252E">
        <w:t xml:space="preserve">at </w:t>
      </w:r>
      <w:r w:rsidR="00634FD6" w:rsidRPr="00A8252E">
        <w:t>0.2</w:t>
      </w:r>
      <w:r w:rsidR="004F3558" w:rsidRPr="00A8252E">
        <w:t>35</w:t>
      </w:r>
      <w:r w:rsidR="00026658" w:rsidRPr="00A8252E">
        <w:t xml:space="preserve">.  </w:t>
      </w:r>
    </w:p>
    <w:p w:rsidR="00821CFE" w:rsidRPr="00A8252E" w:rsidRDefault="00821CFE" w:rsidP="00396E7C">
      <w:pPr>
        <w:pStyle w:val="Body"/>
      </w:pPr>
      <w:r w:rsidRPr="00A8252E">
        <w:t>The proportion of variance in this measure explained by the state that facilities are located in is 10.</w:t>
      </w:r>
      <w:r w:rsidR="00F42FE6" w:rsidRPr="00A8252E">
        <w:t>1</w:t>
      </w:r>
      <w:r w:rsidRPr="00A8252E">
        <w:t xml:space="preserve">%, indicating significant amount of variation </w:t>
      </w:r>
      <w:r w:rsidR="00634FD6" w:rsidRPr="00A8252E">
        <w:t>across state</w:t>
      </w:r>
      <w:r w:rsidR="00077483" w:rsidRPr="00A8252E">
        <w:t>s</w:t>
      </w:r>
      <w:r w:rsidR="00634FD6" w:rsidRPr="00A8252E">
        <w:t>.</w:t>
      </w:r>
    </w:p>
    <w:p w:rsidR="002703F9" w:rsidRPr="00A8252E" w:rsidRDefault="002703F9" w:rsidP="00396E7C">
      <w:pPr>
        <w:pStyle w:val="Body"/>
      </w:pPr>
      <w:r w:rsidRPr="00A8252E">
        <w:t xml:space="preserve">The quarterly national mean for this measure </w:t>
      </w:r>
      <w:r w:rsidR="008F6C7C" w:rsidRPr="00A8252E">
        <w:rPr>
          <w:rFonts w:eastAsiaTheme="minorHAnsi"/>
        </w:rPr>
        <w:t xml:space="preserve">between Quarter 3 2011 and Quarter 2 2012 </w:t>
      </w:r>
      <w:r w:rsidRPr="00A8252E">
        <w:t xml:space="preserve">was </w:t>
      </w:r>
      <w:r w:rsidR="008F6C7C" w:rsidRPr="00A8252E">
        <w:t>2</w:t>
      </w:r>
      <w:r w:rsidR="00E50537" w:rsidRPr="00A8252E">
        <w:t>3</w:t>
      </w:r>
      <w:r w:rsidR="008F6C7C" w:rsidRPr="00A8252E">
        <w:t>.</w:t>
      </w:r>
      <w:r w:rsidR="001B2FBF" w:rsidRPr="00A8252E">
        <w:t>7</w:t>
      </w:r>
      <w:r w:rsidRPr="00A8252E">
        <w:t xml:space="preserve">%, </w:t>
      </w:r>
      <w:r w:rsidR="00E50537" w:rsidRPr="00A8252E">
        <w:t>23.</w:t>
      </w:r>
      <w:r w:rsidR="001B2FBF" w:rsidRPr="00A8252E">
        <w:t>8</w:t>
      </w:r>
      <w:r w:rsidRPr="00A8252E">
        <w:t xml:space="preserve">%, </w:t>
      </w:r>
      <w:r w:rsidR="00E50537" w:rsidRPr="00A8252E">
        <w:t>23.</w:t>
      </w:r>
      <w:r w:rsidR="001B2FBF" w:rsidRPr="00A8252E">
        <w:t>7</w:t>
      </w:r>
      <w:r w:rsidRPr="00A8252E">
        <w:t xml:space="preserve">%, and </w:t>
      </w:r>
      <w:r w:rsidR="00E50537" w:rsidRPr="00A8252E">
        <w:t>23.</w:t>
      </w:r>
      <w:r w:rsidR="001B2FBF" w:rsidRPr="00A8252E">
        <w:t>1</w:t>
      </w:r>
      <w:r w:rsidRPr="00A8252E">
        <w:t>%</w:t>
      </w:r>
      <w:r w:rsidR="00026658" w:rsidRPr="00A8252E">
        <w:t xml:space="preserve">.  </w:t>
      </w:r>
      <w:r w:rsidRPr="00A8252E">
        <w:t xml:space="preserve">The quarterly national median was </w:t>
      </w:r>
      <w:r w:rsidR="001B2FBF" w:rsidRPr="00A8252E">
        <w:t>22.2</w:t>
      </w:r>
      <w:r w:rsidRPr="00A8252E">
        <w:t xml:space="preserve">%, </w:t>
      </w:r>
      <w:r w:rsidR="00E50537" w:rsidRPr="00A8252E">
        <w:t>22.4</w:t>
      </w:r>
      <w:r w:rsidRPr="00A8252E">
        <w:t xml:space="preserve">%, </w:t>
      </w:r>
      <w:r w:rsidR="00E50537" w:rsidRPr="00A8252E">
        <w:t>22.4</w:t>
      </w:r>
      <w:r w:rsidRPr="00A8252E">
        <w:t xml:space="preserve">%, and </w:t>
      </w:r>
      <w:r w:rsidR="001B2FBF" w:rsidRPr="00A8252E">
        <w:t>21.7</w:t>
      </w:r>
      <w:r w:rsidRPr="00A8252E">
        <w:t>%</w:t>
      </w:r>
      <w:r w:rsidR="00026658" w:rsidRPr="00A8252E">
        <w:t xml:space="preserve">.  </w:t>
      </w:r>
      <w:r w:rsidRPr="00A8252E">
        <w:t xml:space="preserve">Both the mean and the median </w:t>
      </w:r>
      <w:r w:rsidR="008F6C7C" w:rsidRPr="00A8252E">
        <w:t>only slightly fluctuated</w:t>
      </w:r>
      <w:r w:rsidRPr="00A8252E">
        <w:t xml:space="preserve"> over this 12 month time period</w:t>
      </w:r>
      <w:r w:rsidR="00026658" w:rsidRPr="00A8252E">
        <w:t xml:space="preserve">.  </w:t>
      </w:r>
    </w:p>
    <w:p w:rsidR="002703F9" w:rsidRPr="00016073" w:rsidRDefault="002703F9" w:rsidP="00396E7C">
      <w:pPr>
        <w:pStyle w:val="Body"/>
        <w:rPr>
          <w:i/>
        </w:rPr>
      </w:pPr>
      <w:r w:rsidRPr="00A8252E">
        <w:t>RTI’s validity analysis revealed that adverse outcomes happened more frequently among long-stay nursing home residents receiving an antipsychotic medication than those who are not receiving an antipsychotic medication</w:t>
      </w:r>
      <w:r w:rsidR="00026658" w:rsidRPr="00A8252E">
        <w:t xml:space="preserve">.  </w:t>
      </w:r>
      <w:r w:rsidRPr="00A8252E">
        <w:t xml:space="preserve">Within the former group, </w:t>
      </w:r>
      <w:r w:rsidR="00A6657E" w:rsidRPr="00A8252E">
        <w:t>38.5</w:t>
      </w:r>
      <w:r w:rsidRPr="00A8252E">
        <w:t>% had falls</w:t>
      </w:r>
      <w:r w:rsidR="00026658" w:rsidRPr="00A8252E">
        <w:t xml:space="preserve">.  </w:t>
      </w:r>
      <w:r w:rsidRPr="00A8252E">
        <w:t xml:space="preserve">Within the latter group, </w:t>
      </w:r>
      <w:r w:rsidR="00676CC4" w:rsidRPr="00A8252E">
        <w:t>28.7</w:t>
      </w:r>
      <w:r w:rsidRPr="00A8252E">
        <w:t>% had falls.</w:t>
      </w:r>
    </w:p>
    <w:p w:rsidR="00B77C41" w:rsidRPr="00016073" w:rsidRDefault="00B77C41"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Exclusions</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Data sample for analysis of exclusions</w:t>
      </w:r>
    </w:p>
    <w:p w:rsidR="00B77C41" w:rsidRPr="00016073" w:rsidRDefault="00B77C41" w:rsidP="00E81F46">
      <w:pPr>
        <w:pStyle w:val="Body2"/>
        <w:rPr>
          <w:color w:val="0000FF"/>
        </w:rPr>
      </w:pPr>
      <w:r w:rsidRPr="00016073">
        <w:t>2b3.1.</w:t>
      </w:r>
      <w:r w:rsidR="00026658">
        <w:t xml:space="preserve">  </w:t>
      </w:r>
      <w:r w:rsidRPr="00016073">
        <w:t>Describe the data or sample including number of measured entities; number of patients; dates of data; if a sample, characteristics of the entities included</w:t>
      </w:r>
    </w:p>
    <w:p w:rsidR="00D72AAB" w:rsidRPr="00016073" w:rsidRDefault="00D72AAB" w:rsidP="00396E7C">
      <w:pPr>
        <w:pStyle w:val="Body"/>
      </w:pPr>
      <w:r w:rsidRPr="00016073">
        <w:t xml:space="preserve">RTI’s analysis of measure exclusions used MDS 3.0 episode file for </w:t>
      </w:r>
      <w:r w:rsidR="00762865" w:rsidRPr="00016073">
        <w:t>Quarter 2 2012</w:t>
      </w:r>
      <w:r w:rsidR="00026658">
        <w:t xml:space="preserve">.  </w:t>
      </w:r>
      <w:r w:rsidRPr="00016073">
        <w:t xml:space="preserve">The total number of </w:t>
      </w:r>
      <w:r w:rsidR="00C2250E" w:rsidRPr="00016073">
        <w:t>long-stay</w:t>
      </w:r>
      <w:r w:rsidRPr="00016073">
        <w:t xml:space="preserve"> resident episodes in this time period </w:t>
      </w:r>
      <w:r w:rsidR="000C5A7E" w:rsidRPr="00016073">
        <w:t>(before applying exclus</w:t>
      </w:r>
      <w:r w:rsidR="000C5A7E" w:rsidRPr="00A8252E">
        <w:t xml:space="preserve">ion criteria) </w:t>
      </w:r>
      <w:r w:rsidRPr="00A8252E">
        <w:t xml:space="preserve">was </w:t>
      </w:r>
      <w:r w:rsidR="000C5A7E" w:rsidRPr="00A8252E">
        <w:t>1,184,861</w:t>
      </w:r>
      <w:r w:rsidR="00026658" w:rsidRPr="00A8252E">
        <w:t>.</w:t>
      </w:r>
      <w:r w:rsidR="00026658">
        <w:t xml:space="preserve">  </w:t>
      </w:r>
    </w:p>
    <w:p w:rsidR="00D72AAB" w:rsidRPr="00016073" w:rsidRDefault="00D72AAB" w:rsidP="00396E7C">
      <w:pPr>
        <w:pStyle w:val="Body"/>
        <w:rPr>
          <w:i/>
        </w:rPr>
      </w:pPr>
      <w:r w:rsidRPr="00016073">
        <w:t>RTI Analysis of MDS 3.0 Data</w:t>
      </w:r>
      <w:r w:rsidR="000C5A7E" w:rsidRPr="00016073">
        <w:t>(quarter_6_7_complete\ntz47\ntz47_request.log)</w:t>
      </w:r>
      <w:r w:rsidRPr="00016073">
        <w:t>.</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Analytic method</w:t>
      </w:r>
    </w:p>
    <w:p w:rsidR="00B77C41" w:rsidRPr="00016073" w:rsidRDefault="00B77C41" w:rsidP="00E81F46">
      <w:pPr>
        <w:pStyle w:val="Body2"/>
      </w:pPr>
      <w:r w:rsidRPr="00016073">
        <w:t>2b3.2</w:t>
      </w:r>
      <w:r w:rsidR="00026658">
        <w:t xml:space="preserve">.  </w:t>
      </w:r>
      <w:r w:rsidRPr="00016073">
        <w:t>Describe type of analysis and rationale for examining exclusions, including exclusion related to patient preference</w:t>
      </w:r>
    </w:p>
    <w:p w:rsidR="00D72AAB" w:rsidRPr="00016073" w:rsidRDefault="00E22EC4" w:rsidP="00396E7C">
      <w:pPr>
        <w:pStyle w:val="Body"/>
        <w:rPr>
          <w:i/>
        </w:rPr>
      </w:pPr>
      <w:r w:rsidRPr="00016073">
        <w:t>RTI examined the percentage of long-stay residents who meet each of the exclusion criteria</w:t>
      </w:r>
      <w:r w:rsidR="00026658">
        <w:t xml:space="preserve">.  </w:t>
      </w:r>
      <w:r w:rsidR="00762865" w:rsidRPr="00016073">
        <w:t xml:space="preserve">For </w:t>
      </w:r>
      <w:r w:rsidRPr="00016073">
        <w:t xml:space="preserve">long-stay residents excluded based on each </w:t>
      </w:r>
      <w:r w:rsidR="00762865" w:rsidRPr="00016073">
        <w:t>criterion</w:t>
      </w:r>
      <w:r w:rsidRPr="00016073">
        <w:t>, RTI reported the prevalence of antipsychotic medication use.</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Results</w:t>
      </w:r>
    </w:p>
    <w:p w:rsidR="00B77C41" w:rsidRPr="00016073" w:rsidRDefault="00B77C41" w:rsidP="00E81F46">
      <w:pPr>
        <w:pStyle w:val="Body2"/>
      </w:pPr>
      <w:r w:rsidRPr="00016073">
        <w:t>2b3.3</w:t>
      </w:r>
      <w:r w:rsidR="00026658">
        <w:t xml:space="preserve">.  </w:t>
      </w:r>
      <w:r w:rsidRPr="00016073">
        <w:t>Provide statistical results for analysis of exclusions (</w:t>
      </w:r>
      <w:r w:rsidR="003B5EB5" w:rsidRPr="00016073">
        <w:t>for example</w:t>
      </w:r>
      <w:r w:rsidRPr="00016073">
        <w:t>, frequency, variability, sensitivity analyses)</w:t>
      </w:r>
    </w:p>
    <w:p w:rsidR="00E22EC4" w:rsidRPr="00016073" w:rsidRDefault="000C5A7E" w:rsidP="00396E7C">
      <w:pPr>
        <w:pStyle w:val="Body"/>
        <w:rPr>
          <w:i/>
        </w:rPr>
      </w:pPr>
      <w:r w:rsidRPr="00016073">
        <w:t>For this quality m</w:t>
      </w:r>
      <w:r w:rsidRPr="00A8252E">
        <w:t xml:space="preserve">easure for Quarter 2 2012, </w:t>
      </w:r>
      <w:r w:rsidR="00D44A85" w:rsidRPr="00A8252E">
        <w:t>1,575 (0.1%) of the long-stay residents had missing values for antipsychotic medications</w:t>
      </w:r>
      <w:r w:rsidR="00026658" w:rsidRPr="00A8252E">
        <w:t xml:space="preserve">.  </w:t>
      </w:r>
      <w:r w:rsidR="00D44A85" w:rsidRPr="00A8252E">
        <w:t>They were therefore excluded from the measure calculation</w:t>
      </w:r>
      <w:r w:rsidR="00026658" w:rsidRPr="00A8252E">
        <w:t xml:space="preserve">.  </w:t>
      </w:r>
      <w:r w:rsidR="00D44A85" w:rsidRPr="00A8252E">
        <w:t>A total of 86,230 (7.3%) of the long-stay residents had an active diagnosis of schizophrenia, among whom the frequency of antipsychotic medication use was 84.9% (compared to 23.1% among residents without schizophrenia)</w:t>
      </w:r>
      <w:r w:rsidR="00026658" w:rsidRPr="00A8252E">
        <w:t xml:space="preserve">.  </w:t>
      </w:r>
      <w:r w:rsidR="000B1D33" w:rsidRPr="00A8252E">
        <w:t>Very few long-stay residents had Tourette’s Syndrome (290 or 0.02%) or Huntington’s Disease (3,266 or 0.28%)</w:t>
      </w:r>
      <w:r w:rsidR="00026658" w:rsidRPr="00A8252E">
        <w:t xml:space="preserve">.  </w:t>
      </w:r>
      <w:r w:rsidR="00653F92" w:rsidRPr="00A8252E">
        <w:t>The frequency of antipsychotic medication use was 51.0% among long-stay residents with Tourette’s Syndrome (vs</w:t>
      </w:r>
      <w:r w:rsidR="00026658" w:rsidRPr="00A8252E">
        <w:t xml:space="preserve">.  </w:t>
      </w:r>
      <w:r w:rsidR="00653F92" w:rsidRPr="00A8252E">
        <w:t>27.7% among those without) and 70.3% among long-stay residents with Huntington’s Disease (vs</w:t>
      </w:r>
      <w:r w:rsidR="00026658" w:rsidRPr="00A8252E">
        <w:t xml:space="preserve">.  </w:t>
      </w:r>
      <w:r w:rsidR="00653F92" w:rsidRPr="00A8252E">
        <w:t>27.5% among those without).</w:t>
      </w:r>
    </w:p>
    <w:p w:rsidR="00B77C41" w:rsidRPr="00016073" w:rsidRDefault="00B77C41"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lastRenderedPageBreak/>
        <w:t>Risk Adjustment Strategy</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Data/ sample</w:t>
      </w:r>
    </w:p>
    <w:p w:rsidR="00B77C41" w:rsidRPr="00016073" w:rsidRDefault="00B77C41" w:rsidP="00E81F46">
      <w:pPr>
        <w:pStyle w:val="Body2"/>
      </w:pPr>
      <w:r w:rsidRPr="00016073">
        <w:t>2b4.1</w:t>
      </w:r>
      <w:r w:rsidR="00026658">
        <w:t xml:space="preserve">.  </w:t>
      </w:r>
      <w:r w:rsidRPr="00016073">
        <w:t>Describe the data or sample including number of measured entities; number of patients; dates of data; if a sample, characteristics of the entities included</w:t>
      </w:r>
      <w:r w:rsidR="00026658">
        <w:t xml:space="preserve">.  </w:t>
      </w:r>
      <w:r w:rsidRPr="00016073">
        <w:t>Delete row if measure is not risk adjusted.</w:t>
      </w:r>
    </w:p>
    <w:p w:rsidR="004A671F" w:rsidRPr="00016073" w:rsidRDefault="004A671F" w:rsidP="00396E7C">
      <w:pPr>
        <w:pStyle w:val="Body"/>
        <w:rPr>
          <w:i/>
        </w:rPr>
      </w:pPr>
      <w:r w:rsidRPr="00016073">
        <w:t>This is not applicable.</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Analytic method</w:t>
      </w:r>
    </w:p>
    <w:p w:rsidR="00B77C41" w:rsidRPr="00016073" w:rsidRDefault="00B77C41" w:rsidP="00E81F46">
      <w:pPr>
        <w:pStyle w:val="Body2"/>
      </w:pPr>
      <w:r w:rsidRPr="00016073">
        <w:t>2b4.2</w:t>
      </w:r>
      <w:r w:rsidR="00026658">
        <w:t xml:space="preserve">.  </w:t>
      </w:r>
      <w:r w:rsidRPr="00016073">
        <w:t>Describe methods and rationale for development and testing of risk model or risk stratification includin</w:t>
      </w:r>
      <w:r w:rsidR="004A671F" w:rsidRPr="00016073">
        <w:t>g selection of factors/variable</w:t>
      </w:r>
    </w:p>
    <w:p w:rsidR="004A671F" w:rsidRPr="00016073" w:rsidRDefault="004A671F" w:rsidP="00396E7C">
      <w:pPr>
        <w:pStyle w:val="Body"/>
        <w:rPr>
          <w:i/>
        </w:rPr>
      </w:pPr>
      <w:r w:rsidRPr="00016073">
        <w:t>This is not applicable.</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Testing results</w:t>
      </w:r>
    </w:p>
    <w:p w:rsidR="00B77C41" w:rsidRPr="00016073" w:rsidRDefault="00B77C41" w:rsidP="00E81F46">
      <w:pPr>
        <w:pStyle w:val="Body2"/>
      </w:pPr>
      <w:r w:rsidRPr="00016073">
        <w:t>2b4.3</w:t>
      </w:r>
      <w:r w:rsidR="00026658">
        <w:t xml:space="preserve">.  </w:t>
      </w:r>
      <w:r w:rsidRPr="00016073">
        <w:t>Statistical risk model: Provide quantitative assessment of relative contribution of model risk factors; risk model performance metrics including cross-validation discrimination and calibration statistics, calibration curve and risk decile plot, and assessment of adequacy in the context of norms for risk models</w:t>
      </w:r>
      <w:r w:rsidR="00026658">
        <w:t xml:space="preserve">.  </w:t>
      </w:r>
      <w:r w:rsidRPr="00016073">
        <w:t>Risk stratification: Provide quantitative assessment of relationship of risk factors to the outcome and differences in outcomes among the strata</w:t>
      </w:r>
      <w:r w:rsidR="00026658">
        <w:t xml:space="preserve">.  </w:t>
      </w:r>
      <w:r w:rsidRPr="00016073">
        <w:t>Delete row if measure is not risk adjusted.</w:t>
      </w:r>
    </w:p>
    <w:p w:rsidR="004A671F" w:rsidRPr="00016073" w:rsidRDefault="004A671F" w:rsidP="00396E7C">
      <w:pPr>
        <w:pStyle w:val="Body"/>
        <w:rPr>
          <w:i/>
        </w:rPr>
      </w:pPr>
      <w:r w:rsidRPr="00016073">
        <w:t>This is not applicable.</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Rationale for no adjustment</w:t>
      </w:r>
    </w:p>
    <w:p w:rsidR="00B77C41" w:rsidRPr="00016073" w:rsidRDefault="00B77C41" w:rsidP="00E81F46">
      <w:pPr>
        <w:pStyle w:val="Body2"/>
      </w:pPr>
      <w:r w:rsidRPr="00016073">
        <w:t>2b4.4</w:t>
      </w:r>
      <w:r w:rsidR="00026658">
        <w:t xml:space="preserve">.  </w:t>
      </w:r>
      <w:r w:rsidRPr="00016073">
        <w:t>If outcome or resource use measure is not risk adjusted, provide rationale and analyses to justify lack of adjustment</w:t>
      </w:r>
      <w:r w:rsidR="00026658">
        <w:t xml:space="preserve">.  </w:t>
      </w:r>
      <w:r w:rsidRPr="00016073">
        <w:t>The three rows above may be deleted if this field is used</w:t>
      </w:r>
      <w:r w:rsidR="00026658">
        <w:t xml:space="preserve">.  </w:t>
      </w:r>
      <w:r w:rsidRPr="00016073">
        <w:t>Delete row if measure is risk adjusted or if this is a process measure.</w:t>
      </w:r>
    </w:p>
    <w:p w:rsidR="004A671F" w:rsidRPr="00016073" w:rsidRDefault="004A671F" w:rsidP="00396E7C">
      <w:pPr>
        <w:pStyle w:val="Body"/>
        <w:rPr>
          <w:i/>
        </w:rPr>
      </w:pPr>
      <w:r w:rsidRPr="00016073">
        <w:t>This is a process measure for nursing home residents</w:t>
      </w:r>
      <w:r w:rsidR="00026658">
        <w:t xml:space="preserve">.  </w:t>
      </w:r>
      <w:r w:rsidRPr="00016073">
        <w:t>Nursing home residents with certain mental disorders (e.g</w:t>
      </w:r>
      <w:r w:rsidR="00026658">
        <w:t xml:space="preserve">.  </w:t>
      </w:r>
      <w:r w:rsidRPr="00016073">
        <w:t>schizophrenia) who can potentially receive benefit from antipsychotic medication use are excluded from the measure denominator</w:t>
      </w:r>
      <w:r w:rsidR="00026658">
        <w:t xml:space="preserve">.  </w:t>
      </w:r>
      <w:r w:rsidRPr="00016073">
        <w:t>No risk adjustment is applied for residents included in the measure.</w:t>
      </w:r>
    </w:p>
    <w:p w:rsidR="00B77C41" w:rsidRPr="00016073" w:rsidRDefault="00B77C41"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Identification of Meaningful Differences in Performance</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Data/ sample</w:t>
      </w:r>
    </w:p>
    <w:p w:rsidR="00B77C41" w:rsidRPr="00016073" w:rsidRDefault="00B77C41" w:rsidP="00E81F46">
      <w:pPr>
        <w:pStyle w:val="Body2"/>
      </w:pPr>
      <w:r w:rsidRPr="00016073">
        <w:t>2b5.1</w:t>
      </w:r>
      <w:r w:rsidR="00026658">
        <w:t xml:space="preserve">. </w:t>
      </w:r>
      <w:r w:rsidRPr="00016073">
        <w:t xml:space="preserve"> Describe the data or sample including number of measured entities; number of patients; dates of data; if a sample, characteristics of the entities included</w:t>
      </w:r>
    </w:p>
    <w:p w:rsidR="004A671F" w:rsidRPr="00016073" w:rsidRDefault="004A671F" w:rsidP="00396E7C">
      <w:pPr>
        <w:pStyle w:val="Body"/>
      </w:pPr>
      <w:r w:rsidRPr="00016073">
        <w:t>RT</w:t>
      </w:r>
      <w:r w:rsidRPr="00A8252E">
        <w:t xml:space="preserve">I’s analysis of meaningful differences in performance used MDS 3.0 episode file for Quarter </w:t>
      </w:r>
      <w:r w:rsidR="00762865" w:rsidRPr="00A8252E">
        <w:t>2 2012</w:t>
      </w:r>
      <w:r w:rsidR="00026658" w:rsidRPr="00A8252E">
        <w:t xml:space="preserve">.  </w:t>
      </w:r>
      <w:r w:rsidRPr="00A8252E">
        <w:t xml:space="preserve">The total number of </w:t>
      </w:r>
      <w:r w:rsidR="00C2250E" w:rsidRPr="00A8252E">
        <w:t>long-stay</w:t>
      </w:r>
      <w:r w:rsidRPr="00A8252E">
        <w:t xml:space="preserve"> resident episodes in this time period was </w:t>
      </w:r>
      <w:r w:rsidR="00E70199" w:rsidRPr="00A8252E">
        <w:t>1,184,861</w:t>
      </w:r>
      <w:r w:rsidR="00026658" w:rsidRPr="00A8252E">
        <w:t xml:space="preserve">.  </w:t>
      </w:r>
      <w:r w:rsidRPr="00A8252E">
        <w:t xml:space="preserve">The number of resident episodes that met the criteria for being included in the denominator of this quality measure equaled </w:t>
      </w:r>
      <w:r w:rsidR="009A321E" w:rsidRPr="00A8252E">
        <w:t>1,093,902</w:t>
      </w:r>
      <w:r w:rsidRPr="00A8252E">
        <w:t xml:space="preserve">, or </w:t>
      </w:r>
      <w:r w:rsidR="009A321E" w:rsidRPr="00A8252E">
        <w:t>92.3</w:t>
      </w:r>
      <w:r w:rsidRPr="00A8252E">
        <w:t>% of all long-stay resident episodes from this quarter</w:t>
      </w:r>
      <w:r w:rsidR="00026658" w:rsidRPr="00A8252E">
        <w:t xml:space="preserve">.  </w:t>
      </w:r>
      <w:r w:rsidRPr="00A8252E">
        <w:t xml:space="preserve">There were </w:t>
      </w:r>
      <w:r w:rsidR="00E70199" w:rsidRPr="00A8252E">
        <w:t>13,</w:t>
      </w:r>
      <w:r w:rsidR="009A321E" w:rsidRPr="00A8252E">
        <w:t>472</w:t>
      </w:r>
      <w:r w:rsidRPr="00A8252E">
        <w:t xml:space="preserve"> facilities (</w:t>
      </w:r>
      <w:r w:rsidR="009A321E" w:rsidRPr="00A8252E">
        <w:t>85.1</w:t>
      </w:r>
      <w:r w:rsidR="00275595" w:rsidRPr="00A8252E">
        <w:t>%</w:t>
      </w:r>
      <w:r w:rsidRPr="00A8252E">
        <w:t xml:space="preserve"> of facilities) who were eligible to report</w:t>
      </w:r>
      <w:r w:rsidRPr="00016073">
        <w:t xml:space="preserve"> this quality measure (i.e., had at least 30 residents who qualified for the denominator of this measure.)</w:t>
      </w:r>
    </w:p>
    <w:p w:rsidR="004A671F" w:rsidRPr="00016073" w:rsidRDefault="004A671F" w:rsidP="00396E7C">
      <w:pPr>
        <w:pStyle w:val="Body"/>
        <w:rPr>
          <w:i/>
        </w:rPr>
      </w:pPr>
      <w:r w:rsidRPr="00016073">
        <w:t>RTI Analysis of MDS 3.0 Data</w:t>
      </w:r>
      <w:r w:rsidR="00E70199" w:rsidRPr="00016073">
        <w:t xml:space="preserve"> (\qm_quarter_6_7\complete\nh_031_10.log)</w:t>
      </w:r>
      <w:r w:rsidRPr="00016073">
        <w:t>.</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Analytic method</w:t>
      </w:r>
    </w:p>
    <w:p w:rsidR="00B77C41" w:rsidRPr="00016073" w:rsidRDefault="00B77C41" w:rsidP="00E81F46">
      <w:pPr>
        <w:pStyle w:val="Body2"/>
      </w:pPr>
      <w:r w:rsidRPr="00016073">
        <w:t>2b5.2</w:t>
      </w:r>
      <w:r w:rsidR="00026658">
        <w:t xml:space="preserve">.  </w:t>
      </w:r>
      <w:r w:rsidRPr="00016073">
        <w:t>Describe methods and rationale to identify statistically significant and practically/meaningfully differences in performance</w:t>
      </w:r>
    </w:p>
    <w:p w:rsidR="004A671F" w:rsidRPr="00016073" w:rsidRDefault="004A671F" w:rsidP="00396E7C">
      <w:pPr>
        <w:pStyle w:val="Body"/>
        <w:rPr>
          <w:i/>
        </w:rPr>
      </w:pPr>
      <w:r w:rsidRPr="00016073">
        <w:t>A well-designed QM should be sensitive enough to capture the actual variability in quality of care among nursing facilities by discriminating between facilities with varying performance levels</w:t>
      </w:r>
      <w:r w:rsidR="00026658">
        <w:t xml:space="preserve">.  </w:t>
      </w:r>
      <w:r w:rsidRPr="00016073">
        <w:t xml:space="preserve">If facilities’ QM scores are found to cluster in a narrow range or at the top or bottom of the range of possible scores, true differences in performance may be either obscured or </w:t>
      </w:r>
      <w:r w:rsidRPr="00016073">
        <w:lastRenderedPageBreak/>
        <w:t>overstated</w:t>
      </w:r>
      <w:r w:rsidR="00026658">
        <w:t xml:space="preserve">.  </w:t>
      </w:r>
      <w:r w:rsidRPr="00016073">
        <w:t>RTI examined the variability in the QM score across facilities</w:t>
      </w:r>
      <w:r w:rsidR="00026658">
        <w:t xml:space="preserve">.  </w:t>
      </w:r>
      <w:r w:rsidRPr="00016073">
        <w:t>To measure the spread of the distribution of scores, RTI analyzed the interquartile range (the difference between 25th and 75th percentiles) for the scores on each measure</w:t>
      </w:r>
      <w:r w:rsidR="00026658">
        <w:t xml:space="preserve">.  </w:t>
      </w:r>
      <w:r w:rsidRPr="00016073">
        <w:t>A narrow interquartile range suggests clustering of facilities on a given QM</w:t>
      </w:r>
      <w:r w:rsidR="00026658">
        <w:t xml:space="preserve">.  </w:t>
      </w:r>
      <w:r w:rsidRPr="00016073">
        <w:t>It may, therefore, affect reporting of facility ranking on a QM, since a small change in QM score from one quarter to the next may result in an exaggerated shift in rank that exaggerates the change in how the facility performed</w:t>
      </w:r>
      <w:r w:rsidR="00026658">
        <w:t xml:space="preserve">.  </w:t>
      </w:r>
      <w:r w:rsidRPr="00016073">
        <w:t>To examine possible ceiling effects, RTI examined the proportion of facilities with perfect scores (i.e., 0 percent triggering rates for measures capturing negative outcomes and 100 percent for measures reflecting positive outcomes).</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Testing results</w:t>
      </w:r>
    </w:p>
    <w:p w:rsidR="00B77C41" w:rsidRPr="00016073" w:rsidRDefault="00B77C41" w:rsidP="00E81F46">
      <w:pPr>
        <w:pStyle w:val="Body2"/>
      </w:pPr>
      <w:r w:rsidRPr="00016073">
        <w:t>2b5.3</w:t>
      </w:r>
      <w:r w:rsidR="00026658">
        <w:t xml:space="preserve">.  </w:t>
      </w:r>
      <w:r w:rsidRPr="00016073">
        <w:t>Results-Provide measu</w:t>
      </w:r>
      <w:r w:rsidR="003B5EB5" w:rsidRPr="00016073">
        <w:t>re performance results/scores (for example</w:t>
      </w:r>
      <w:r w:rsidRPr="00016073">
        <w:t>, distribution by quartile, mean, median, SD, etc.); identification of statistically significant and meaningfully differences in performance</w:t>
      </w:r>
    </w:p>
    <w:p w:rsidR="004A671F" w:rsidRPr="00A8252E" w:rsidRDefault="004A671F" w:rsidP="00396E7C">
      <w:pPr>
        <w:pStyle w:val="Body"/>
      </w:pPr>
      <w:r w:rsidRPr="00A8252E">
        <w:t xml:space="preserve">The mean score for this measure is </w:t>
      </w:r>
      <w:r w:rsidR="00A27658" w:rsidRPr="00A8252E">
        <w:t>23.1</w:t>
      </w:r>
      <w:r w:rsidRPr="00A8252E">
        <w:t xml:space="preserve">% with a standard deviation of </w:t>
      </w:r>
      <w:r w:rsidR="00A27658" w:rsidRPr="00A8252E">
        <w:t>11.0</w:t>
      </w:r>
      <w:r w:rsidRPr="00A8252E">
        <w:t>%</w:t>
      </w:r>
      <w:r w:rsidR="00026658" w:rsidRPr="00A8252E">
        <w:t xml:space="preserve">.  </w:t>
      </w:r>
      <w:r w:rsidRPr="00A8252E">
        <w:t xml:space="preserve">This QM has an interquartile range of </w:t>
      </w:r>
      <w:r w:rsidR="00A27658" w:rsidRPr="00A8252E">
        <w:t>13.2</w:t>
      </w:r>
      <w:r w:rsidRPr="00A8252E">
        <w:t>%</w:t>
      </w:r>
      <w:r w:rsidR="00026658" w:rsidRPr="00A8252E">
        <w:t xml:space="preserve">.  </w:t>
      </w:r>
      <w:r w:rsidR="00E62DD5" w:rsidRPr="00A8252E">
        <w:t xml:space="preserve">Only </w:t>
      </w:r>
      <w:r w:rsidR="00A27658" w:rsidRPr="00A8252E">
        <w:t>31</w:t>
      </w:r>
      <w:r w:rsidRPr="00A8252E">
        <w:t xml:space="preserve"> facilities have scores of 0% (“perfect” scores)</w:t>
      </w:r>
      <w:r w:rsidR="00E62DD5" w:rsidRPr="00A8252E">
        <w:t>, indicating that almost all facilities may have room for improvement with regard to antipsychotic medication proscribing</w:t>
      </w:r>
      <w:r w:rsidR="00026658" w:rsidRPr="00A8252E">
        <w:t xml:space="preserve">.  </w:t>
      </w:r>
    </w:p>
    <w:p w:rsidR="004A671F" w:rsidRPr="00A8252E" w:rsidRDefault="004A671F" w:rsidP="00396E7C">
      <w:pPr>
        <w:pStyle w:val="Body"/>
      </w:pPr>
      <w:r w:rsidRPr="00A8252E">
        <w:t>The distribution of scores by percentiles is as follows:</w:t>
      </w:r>
    </w:p>
    <w:p w:rsidR="004A671F" w:rsidRPr="00A8252E" w:rsidRDefault="004A671F" w:rsidP="00396E7C">
      <w:pPr>
        <w:pStyle w:val="ListBullet1"/>
      </w:pPr>
      <w:r w:rsidRPr="00A8252E">
        <w:t xml:space="preserve">10th percentile: </w:t>
      </w:r>
      <w:r w:rsidR="00A27658" w:rsidRPr="00A8252E">
        <w:t>10</w:t>
      </w:r>
      <w:r w:rsidR="00E62DD5" w:rsidRPr="00A8252E">
        <w:t>.7%</w:t>
      </w:r>
      <w:r w:rsidRPr="00A8252E">
        <w:t xml:space="preserve"> </w:t>
      </w:r>
    </w:p>
    <w:p w:rsidR="004A671F" w:rsidRPr="00A8252E" w:rsidRDefault="004A671F" w:rsidP="00396E7C">
      <w:pPr>
        <w:pStyle w:val="ListBullet1"/>
      </w:pPr>
      <w:r w:rsidRPr="00A8252E">
        <w:t xml:space="preserve">25th percentile: </w:t>
      </w:r>
      <w:r w:rsidR="00A27658" w:rsidRPr="00A8252E">
        <w:t>15.7</w:t>
      </w:r>
      <w:r w:rsidR="00E62DD5" w:rsidRPr="00A8252E">
        <w:t>%</w:t>
      </w:r>
    </w:p>
    <w:p w:rsidR="004A671F" w:rsidRPr="00A8252E" w:rsidRDefault="004A671F" w:rsidP="00396E7C">
      <w:pPr>
        <w:pStyle w:val="ListBullet1"/>
      </w:pPr>
      <w:r w:rsidRPr="00A8252E">
        <w:t xml:space="preserve">50th percentile: </w:t>
      </w:r>
      <w:r w:rsidR="00A27658" w:rsidRPr="00A8252E">
        <w:t>21.7</w:t>
      </w:r>
      <w:r w:rsidR="00E62DD5" w:rsidRPr="00A8252E">
        <w:t>%</w:t>
      </w:r>
    </w:p>
    <w:p w:rsidR="004A671F" w:rsidRPr="00A8252E" w:rsidRDefault="004A671F" w:rsidP="00396E7C">
      <w:pPr>
        <w:pStyle w:val="ListBullet1"/>
      </w:pPr>
      <w:r w:rsidRPr="00A8252E">
        <w:t xml:space="preserve">75th percentile: </w:t>
      </w:r>
      <w:r w:rsidR="00A27658" w:rsidRPr="00A8252E">
        <w:t>28.9%</w:t>
      </w:r>
    </w:p>
    <w:p w:rsidR="004A671F" w:rsidRPr="00A8252E" w:rsidRDefault="004A671F" w:rsidP="00396E7C">
      <w:pPr>
        <w:pStyle w:val="ListBullet1"/>
        <w:rPr>
          <w:i/>
        </w:rPr>
      </w:pPr>
      <w:r w:rsidRPr="00A8252E">
        <w:t xml:space="preserve">90th percentile: </w:t>
      </w:r>
      <w:r w:rsidR="00A27658" w:rsidRPr="00A8252E">
        <w:t>36.7</w:t>
      </w:r>
      <w:r w:rsidR="00E62DD5" w:rsidRPr="00A8252E">
        <w:t>%</w:t>
      </w:r>
    </w:p>
    <w:p w:rsidR="00B77C41" w:rsidRPr="00016073" w:rsidRDefault="00B77C41"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Comparability of Multiple Data Sources/Methods</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Data/ sample</w:t>
      </w:r>
    </w:p>
    <w:p w:rsidR="00B77C41" w:rsidRPr="00016073" w:rsidRDefault="00B77C41" w:rsidP="00E81F46">
      <w:pPr>
        <w:pStyle w:val="Body2"/>
      </w:pPr>
      <w:r w:rsidRPr="00016073">
        <w:t>2b6.1</w:t>
      </w:r>
      <w:r w:rsidR="00026658">
        <w:t xml:space="preserve">.  </w:t>
      </w:r>
      <w:r w:rsidRPr="00016073">
        <w:t>Describe the data or sample including number of measured entities; number of patients; dates of data; if a sample, characteristics of the entities included</w:t>
      </w:r>
    </w:p>
    <w:p w:rsidR="004A671F" w:rsidRPr="00016073" w:rsidRDefault="004A671F" w:rsidP="00396E7C">
      <w:pPr>
        <w:pStyle w:val="Body"/>
        <w:rPr>
          <w:i/>
        </w:rPr>
      </w:pPr>
      <w:r w:rsidRPr="00016073">
        <w:t xml:space="preserve">Briesacher </w:t>
      </w:r>
      <w:r w:rsidR="00155E08">
        <w:t xml:space="preserve">et al. </w:t>
      </w:r>
      <w:r w:rsidRPr="00016073">
        <w:t>conducted a retrospective analysis using the nationally representative data set of the Medicare Current Beneficiary Survey merged to Minimum Data Set assessments, medication administration records, and Medicare claims</w:t>
      </w:r>
      <w:r w:rsidR="00026658">
        <w:t xml:space="preserve">.  </w:t>
      </w:r>
      <w:r w:rsidRPr="00016073">
        <w:t>They identified a sample of 2.5 million Medicare beneficiaries in NHs during 2000-2001 (unweighted</w:t>
      </w:r>
      <w:r w:rsidR="007714D3" w:rsidRPr="00016073">
        <w:t>;</w:t>
      </w:r>
      <w:r w:rsidRPr="00016073">
        <w:t xml:space="preserve"> n = 1</w:t>
      </w:r>
      <w:r w:rsidR="00934E5C">
        <w:t>,</w:t>
      </w:r>
      <w:r w:rsidRPr="00016073">
        <w:t>096) to assess prevalence of antipsychotic use, rates of adherence to NH prescribing guidelines, and changes in behavioral symptoms</w:t>
      </w:r>
      <w:r w:rsidR="00026658">
        <w:t xml:space="preserve">.  </w:t>
      </w:r>
      <w:r w:rsidR="00425D15" w:rsidRPr="00016073">
        <w:t>(Briesacher et al., 2005)</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Analytic method</w:t>
      </w:r>
    </w:p>
    <w:p w:rsidR="00B77C41" w:rsidRPr="00016073" w:rsidRDefault="00B77C41" w:rsidP="00E81F46">
      <w:pPr>
        <w:pStyle w:val="Body2"/>
      </w:pPr>
      <w:r w:rsidRPr="00016073">
        <w:t>2b6.2</w:t>
      </w:r>
      <w:r w:rsidR="00026658">
        <w:t xml:space="preserve">.  </w:t>
      </w:r>
      <w:r w:rsidRPr="00016073">
        <w:t>Describe methods and rationale for testing comparability of scores produced by the different data sources specified in the measure</w:t>
      </w:r>
    </w:p>
    <w:p w:rsidR="004A671F" w:rsidRPr="00016073" w:rsidRDefault="004A671F" w:rsidP="00396E7C">
      <w:pPr>
        <w:pStyle w:val="Body"/>
      </w:pPr>
      <w:r w:rsidRPr="00016073">
        <w:t>Based on medication administration record, subjects were identified as taking antipsychotic drugs if they received at least 1 antipsychotic agent during the year, regardless of duration of therapy</w:t>
      </w:r>
      <w:r w:rsidR="00026658">
        <w:t xml:space="preserve">.  </w:t>
      </w:r>
      <w:r w:rsidRPr="00016073">
        <w:t>(Average annual duration of antipsychotic use was 6.4 months.) Antipsychotic drugs were further classified as atypical agents or conventional agents</w:t>
      </w:r>
      <w:r w:rsidR="00026658">
        <w:t xml:space="preserve">.  </w:t>
      </w:r>
    </w:p>
    <w:p w:rsidR="004A671F" w:rsidRPr="00016073" w:rsidRDefault="004A671F" w:rsidP="00396E7C">
      <w:pPr>
        <w:pStyle w:val="Body"/>
        <w:rPr>
          <w:i/>
        </w:rPr>
      </w:pPr>
      <w:r w:rsidRPr="00016073">
        <w:t>Definitions for appropriate indications included the following ICD-9 codes: schizophrenia, 295.1-295.4, 297.7, 295.8, and 295.9; schizoaffective disorder, 295.7; schizophreniform, 295.4; Tourette syndrome, 307.2; Huntington disease, 333.4; psychotic/delusional disorders, 291.x, 293.x, 294.0, 294.8, 294.9, 296.x, 297.x, and 298.x; and dementia, 290.x, 294.1, 331.x, and 797.x or the MCBS question indicating dementia</w:t>
      </w:r>
      <w:r w:rsidR="00026658">
        <w:t xml:space="preserve">.  </w:t>
      </w:r>
      <w:r w:rsidRPr="00016073">
        <w:t>For residents with dementia, MDS behavioral assessments must also show evidence of verbal or physical aggression or delusions or hallucinations</w:t>
      </w:r>
      <w:r w:rsidR="00026658">
        <w:t xml:space="preserve">.  </w:t>
      </w:r>
      <w:r w:rsidRPr="00016073">
        <w:t>For residents without these indications, we checked the MDS for behaviors listed in the guidelines as inappropriate for antipsychotic treatment</w:t>
      </w:r>
      <w:r w:rsidR="00026658">
        <w:t xml:space="preserve">.  </w:t>
      </w:r>
      <w:r w:rsidRPr="00016073">
        <w:t>These included impaired memory, wandering, restlessness, unsociability, uncooperativeness, and indifference to surroundings.</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lastRenderedPageBreak/>
        <w:t>Testing results</w:t>
      </w:r>
    </w:p>
    <w:p w:rsidR="00B77C41" w:rsidRPr="00016073" w:rsidRDefault="00B77C41" w:rsidP="00E81F46">
      <w:pPr>
        <w:pStyle w:val="Body2"/>
      </w:pPr>
      <w:r w:rsidRPr="00016073">
        <w:t>2b6.3</w:t>
      </w:r>
      <w:r w:rsidR="00026658">
        <w:t xml:space="preserve">.  </w:t>
      </w:r>
      <w:r w:rsidRPr="00016073">
        <w:t>Provide statistical results (</w:t>
      </w:r>
      <w:r w:rsidR="003B5EB5" w:rsidRPr="00016073">
        <w:t>for example</w:t>
      </w:r>
      <w:r w:rsidRPr="00016073">
        <w:t>, correlation statistics, comparison of rankings) and assessment of adequacy in the context of norms for the test conducted</w:t>
      </w:r>
    </w:p>
    <w:p w:rsidR="004A671F" w:rsidRPr="00016073" w:rsidRDefault="004A671F" w:rsidP="00396E7C">
      <w:pPr>
        <w:pStyle w:val="Body"/>
      </w:pPr>
      <w:r w:rsidRPr="00016073">
        <w:t>Approximately 693 000 (unweighted</w:t>
      </w:r>
      <w:r w:rsidR="007714D3" w:rsidRPr="00016073">
        <w:t>;</w:t>
      </w:r>
      <w:r w:rsidRPr="00016073">
        <w:t xml:space="preserve"> n = 302), or 27.6%, of all Medicare beneficiaries in NHs received at least 1 prescription for antipsychotics during the study period: 20.3% received atypicals only; 3.7%, conventionals only; and 3.6%, both atypicals and conventionals</w:t>
      </w:r>
      <w:r w:rsidR="00026658">
        <w:t xml:space="preserve">.  </w:t>
      </w:r>
      <w:r w:rsidRPr="00016073">
        <w:t>Less than half (41.8%) of treated residents received antipsychotic therapy in accordance with NH prescribing guidelines</w:t>
      </w:r>
      <w:r w:rsidR="00026658">
        <w:t xml:space="preserve">.  </w:t>
      </w:r>
      <w:r w:rsidRPr="00016073">
        <w:t>This study also suggested that 32.2% of residents receiving antipsychotic had no appropriate indications.</w:t>
      </w:r>
    </w:p>
    <w:p w:rsidR="004A671F" w:rsidRPr="00016073" w:rsidRDefault="004A671F" w:rsidP="004274C1">
      <w:pPr>
        <w:pStyle w:val="Body"/>
      </w:pPr>
      <w:r w:rsidRPr="00016073">
        <w:t>A study using MDS data found the prevalence of antipsychotic use to be 27.6% in 2006</w:t>
      </w:r>
      <w:r w:rsidR="00235031" w:rsidRPr="00016073">
        <w:t xml:space="preserve"> (Crystal et al., 2009)</w:t>
      </w:r>
      <w:r w:rsidR="00026658">
        <w:t xml:space="preserve">.  </w:t>
      </w:r>
      <w:r w:rsidRPr="00016073">
        <w:t>The results from this study indicated that 64.2% of residents receiving antipsychotic medication have no characteristics that necessitate the prescribi</w:t>
      </w:r>
      <w:r w:rsidRPr="00A8252E">
        <w:t>ng.</w:t>
      </w:r>
      <w:r w:rsidR="004274C1" w:rsidRPr="004274C1">
        <w:rPr>
          <w:vertAlign w:val="superscript"/>
        </w:rPr>
        <w:t>11</w:t>
      </w:r>
      <w:r w:rsidRPr="00A8252E">
        <w:t xml:space="preserve"> The</w:t>
      </w:r>
      <w:r w:rsidRPr="00016073">
        <w:t xml:space="preserve"> </w:t>
      </w:r>
      <w:r w:rsidRPr="00396E7C">
        <w:t>discrepancies</w:t>
      </w:r>
      <w:r w:rsidRPr="00016073">
        <w:t xml:space="preserve"> between the results from the two studies could reflect a time trend, but more likely they indicate undercoding of disease diagnoses in MDS</w:t>
      </w:r>
      <w:r w:rsidR="00026658">
        <w:t xml:space="preserve">.  </w:t>
      </w:r>
      <w:r w:rsidRPr="00016073">
        <w:t>Nonetheless, MDS 3.0 should be considered a viable data source to construct antipsychotic use QM, because it is readily available and</w:t>
      </w:r>
      <w:r w:rsidRPr="00016073">
        <w:rPr>
          <w:rFonts w:eastAsiaTheme="minorHAnsi"/>
        </w:rPr>
        <w:t xml:space="preserve"> cost-effective to use for QM purposes</w:t>
      </w:r>
      <w:r w:rsidR="00026658">
        <w:rPr>
          <w:rFonts w:eastAsiaTheme="minorHAnsi"/>
        </w:rPr>
        <w:t xml:space="preserve">.  </w:t>
      </w:r>
      <w:r w:rsidRPr="00016073">
        <w:rPr>
          <w:rFonts w:eastAsiaTheme="minorHAnsi"/>
        </w:rPr>
        <w:t>On the contrary, incorporating Medicare claims and medication administration data can be expensive and time consuming</w:t>
      </w:r>
      <w:r w:rsidR="00026658">
        <w:rPr>
          <w:rFonts w:eastAsiaTheme="minorHAnsi"/>
        </w:rPr>
        <w:t xml:space="preserve">.  </w:t>
      </w:r>
      <w:r w:rsidRPr="00016073">
        <w:rPr>
          <w:rFonts w:eastAsiaTheme="minorHAnsi"/>
        </w:rPr>
        <w:t>Considering the overall acceptable reliability of MDS 3.0 data</w:t>
      </w:r>
      <w:r w:rsidR="00026658">
        <w:rPr>
          <w:rFonts w:eastAsiaTheme="minorHAnsi"/>
        </w:rPr>
        <w:t xml:space="preserve">.  </w:t>
      </w:r>
    </w:p>
    <w:p w:rsidR="00B77C41" w:rsidRPr="00016073" w:rsidRDefault="00B77C41"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Disparities in Care</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Stratification</w:t>
      </w:r>
    </w:p>
    <w:p w:rsidR="00B77C41" w:rsidRPr="00016073" w:rsidRDefault="00B77C41" w:rsidP="00E81F46">
      <w:pPr>
        <w:pStyle w:val="Body2"/>
      </w:pPr>
      <w:r w:rsidRPr="00016073">
        <w:t>2c.1</w:t>
      </w:r>
      <w:r w:rsidR="00026658">
        <w:t xml:space="preserve">.  </w:t>
      </w:r>
      <w:r w:rsidRPr="00016073">
        <w:t>If measure is stratified for disparities, provide stratified results (scores by stratified categories/cohorts)</w:t>
      </w:r>
    </w:p>
    <w:p w:rsidR="009E36FB" w:rsidRPr="00016073" w:rsidRDefault="009E36FB" w:rsidP="00396E7C">
      <w:pPr>
        <w:pStyle w:val="Body"/>
        <w:rPr>
          <w:b/>
          <w:i/>
        </w:rPr>
      </w:pPr>
      <w:r w:rsidRPr="00016073">
        <w:t>This is not applicable.</w:t>
      </w:r>
    </w:p>
    <w:p w:rsidR="00B77C41" w:rsidRPr="00016073" w:rsidRDefault="00B77C41" w:rsidP="00E81F46">
      <w:pPr>
        <w:pStyle w:val="ListParagraph"/>
        <w:keepNext/>
        <w:keepLines/>
        <w:numPr>
          <w:ilvl w:val="0"/>
          <w:numId w:val="10"/>
        </w:numPr>
        <w:spacing w:after="0" w:line="276" w:lineRule="auto"/>
        <w:outlineLvl w:val="2"/>
        <w:rPr>
          <w:b/>
          <w:szCs w:val="20"/>
        </w:rPr>
      </w:pPr>
      <w:r w:rsidRPr="00016073">
        <w:rPr>
          <w:b/>
          <w:szCs w:val="20"/>
        </w:rPr>
        <w:t>Rationale for no stratification</w:t>
      </w:r>
    </w:p>
    <w:p w:rsidR="00B77C41" w:rsidRPr="00016073" w:rsidRDefault="00B77C41" w:rsidP="00E81F46">
      <w:pPr>
        <w:pStyle w:val="Body2"/>
      </w:pPr>
      <w:r w:rsidRPr="00016073">
        <w:t>2c.2</w:t>
      </w:r>
      <w:r w:rsidR="00026658">
        <w:t xml:space="preserve">.  </w:t>
      </w:r>
      <w:r w:rsidRPr="00016073">
        <w:t>If disparities have been reported/identified, but measure is not specified to detect disparities, please explain.</w:t>
      </w:r>
    </w:p>
    <w:p w:rsidR="009E36FB" w:rsidRPr="00016073" w:rsidRDefault="009E36FB" w:rsidP="009E36FB">
      <w:pPr>
        <w:spacing w:before="0" w:after="0" w:line="276" w:lineRule="auto"/>
        <w:rPr>
          <w:rFonts w:asciiTheme="minorHAnsi" w:hAnsiTheme="minorHAnsi"/>
          <w:b/>
          <w:bCs/>
          <w:i/>
          <w:color w:val="0000FF"/>
          <w:sz w:val="20"/>
          <w:szCs w:val="20"/>
        </w:rPr>
      </w:pPr>
      <w:r w:rsidRPr="00016073">
        <w:rPr>
          <w:rFonts w:asciiTheme="minorHAnsi" w:hAnsiTheme="minorHAnsi" w:cstheme="majorBidi"/>
          <w:bCs/>
          <w:iCs/>
          <w:color w:val="0000FF"/>
          <w:sz w:val="20"/>
          <w:szCs w:val="20"/>
        </w:rPr>
        <w:t>This is not applicable.</w:t>
      </w:r>
    </w:p>
    <w:p w:rsidR="007C276D" w:rsidRPr="00016073" w:rsidRDefault="007C276D" w:rsidP="00E81F46">
      <w:pPr>
        <w:pStyle w:val="ListParagraph"/>
        <w:keepNext/>
        <w:keepLines/>
        <w:numPr>
          <w:ilvl w:val="0"/>
          <w:numId w:val="10"/>
        </w:numPr>
        <w:spacing w:after="0" w:line="276" w:lineRule="auto"/>
        <w:outlineLvl w:val="2"/>
        <w:rPr>
          <w:b/>
          <w:szCs w:val="20"/>
        </w:rPr>
      </w:pPr>
      <w:r w:rsidRPr="00016073">
        <w:rPr>
          <w:b/>
          <w:szCs w:val="20"/>
        </w:rPr>
        <w:t>Supplemental information</w:t>
      </w:r>
    </w:p>
    <w:p w:rsidR="007C276D" w:rsidRPr="00016073" w:rsidRDefault="007C276D" w:rsidP="00E81F46">
      <w:pPr>
        <w:pStyle w:val="Body2"/>
      </w:pPr>
      <w:r w:rsidRPr="00016073">
        <w:t>2.1</w:t>
      </w:r>
      <w:r w:rsidR="00026658">
        <w:t xml:space="preserve">.  </w:t>
      </w:r>
      <w:r w:rsidRPr="00016073">
        <w:t>Supplemental testing methodology information: If additional information if available, please indicate where this information can be found: appendix, attachment, or URL</w:t>
      </w:r>
    </w:p>
    <w:p w:rsidR="009E36FB" w:rsidRPr="00016073" w:rsidRDefault="009E36FB" w:rsidP="00396E7C">
      <w:pPr>
        <w:pStyle w:val="Body"/>
        <w:rPr>
          <w:b/>
          <w:i/>
        </w:rPr>
      </w:pPr>
      <w:r w:rsidRPr="00016073">
        <w:t>This is not applicable.</w:t>
      </w:r>
    </w:p>
    <w:p w:rsidR="007C276D" w:rsidRPr="00016073" w:rsidRDefault="007C276D" w:rsidP="007C276D">
      <w:pPr>
        <w:rPr>
          <w:rFonts w:asciiTheme="majorHAnsi" w:hAnsiTheme="majorHAnsi"/>
          <w:b/>
          <w:sz w:val="20"/>
          <w:szCs w:val="20"/>
        </w:rPr>
      </w:pPr>
      <w:r w:rsidRPr="00016073">
        <w:rPr>
          <w:rFonts w:asciiTheme="majorHAnsi" w:hAnsiTheme="majorHAnsi"/>
          <w:b/>
          <w:sz w:val="20"/>
          <w:szCs w:val="20"/>
        </w:rPr>
        <w:t>Usability</w:t>
      </w:r>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Public Reporting</w:t>
      </w:r>
    </w:p>
    <w:p w:rsidR="007C276D" w:rsidRPr="00016073" w:rsidRDefault="007C276D" w:rsidP="00E81F46">
      <w:pPr>
        <w:pStyle w:val="ListParagraph"/>
        <w:keepNext/>
        <w:keepLines/>
        <w:numPr>
          <w:ilvl w:val="0"/>
          <w:numId w:val="10"/>
        </w:numPr>
        <w:spacing w:after="0" w:line="276" w:lineRule="auto"/>
        <w:outlineLvl w:val="2"/>
        <w:rPr>
          <w:b/>
          <w:szCs w:val="20"/>
        </w:rPr>
      </w:pPr>
      <w:r w:rsidRPr="00016073">
        <w:rPr>
          <w:b/>
          <w:szCs w:val="20"/>
        </w:rPr>
        <w:t>Meaningful, understandable and useful</w:t>
      </w:r>
    </w:p>
    <w:p w:rsidR="007C276D" w:rsidRPr="00016073" w:rsidRDefault="007C276D" w:rsidP="00E81F46">
      <w:pPr>
        <w:pStyle w:val="Body2"/>
      </w:pPr>
      <w:r w:rsidRPr="00016073">
        <w:t>3a.1</w:t>
      </w:r>
      <w:r w:rsidR="00026658">
        <w:t xml:space="preserve">.  </w:t>
      </w:r>
      <w:r w:rsidRPr="00016073">
        <w:t>Use in public reporting---disclosure of performance results to the public at large (If used in a public reporting program, provide name of program(s), locations, Web page URL(s)</w:t>
      </w:r>
      <w:r w:rsidR="00026658">
        <w:t xml:space="preserve">.  </w:t>
      </w:r>
      <w:r w:rsidRPr="00016073">
        <w:t xml:space="preserve">If not publicly reported in a national or community program, state the reason and plans to achieve public reporting, potential reporting programs or commitments, and timeline, </w:t>
      </w:r>
      <w:r w:rsidR="003B5EB5" w:rsidRPr="00016073">
        <w:t>for example</w:t>
      </w:r>
      <w:r w:rsidRPr="00016073">
        <w:t xml:space="preserve">, within 3 years of endorsement) </w:t>
      </w:r>
    </w:p>
    <w:p w:rsidR="007C276D" w:rsidRPr="00016073" w:rsidRDefault="007C276D" w:rsidP="00E81F46">
      <w:pPr>
        <w:pStyle w:val="Body2"/>
      </w:pPr>
      <w:r w:rsidRPr="00016073">
        <w:t>3a.2</w:t>
      </w:r>
      <w:r w:rsidR="00026658">
        <w:t xml:space="preserve">.  </w:t>
      </w:r>
      <w:r w:rsidRPr="00016073">
        <w:t>Provide a rationale for why the measure performance results are meaningful, understandable, and useful for public reporting</w:t>
      </w:r>
      <w:r w:rsidR="00026658">
        <w:t xml:space="preserve">.  </w:t>
      </w:r>
      <w:r w:rsidRPr="00016073">
        <w:t>If usefulness was demonstrated (</w:t>
      </w:r>
      <w:r w:rsidR="003B5EB5" w:rsidRPr="00016073">
        <w:t>for example</w:t>
      </w:r>
      <w:r w:rsidRPr="00016073">
        <w:t>, focus, group, cognitive testing) describe the data, method and results.</w:t>
      </w:r>
    </w:p>
    <w:p w:rsidR="007B38BB" w:rsidRPr="00E81F46" w:rsidRDefault="007B38BB" w:rsidP="00E81F46">
      <w:pPr>
        <w:rPr>
          <w:rFonts w:asciiTheme="majorHAnsi" w:hAnsiTheme="majorHAnsi"/>
          <w:b/>
          <w:sz w:val="20"/>
          <w:szCs w:val="20"/>
        </w:rPr>
      </w:pPr>
      <w:r w:rsidRPr="00E81F46">
        <w:rPr>
          <w:rFonts w:asciiTheme="majorHAnsi" w:hAnsiTheme="majorHAnsi"/>
          <w:b/>
          <w:sz w:val="20"/>
          <w:szCs w:val="20"/>
        </w:rPr>
        <w:t>Nursing Home Compare</w:t>
      </w:r>
    </w:p>
    <w:p w:rsidR="007B38BB" w:rsidRPr="00016073" w:rsidRDefault="00710CCC" w:rsidP="00396E7C">
      <w:pPr>
        <w:pStyle w:val="Body"/>
        <w:rPr>
          <w:i/>
        </w:rPr>
      </w:pPr>
      <w:hyperlink r:id="rId24" w:history="1">
        <w:r w:rsidR="007B38BB" w:rsidRPr="00016073">
          <w:rPr>
            <w:rStyle w:val="Hyperlink"/>
            <w:iCs w:val="0"/>
          </w:rPr>
          <w:t>www.medicare.gov/nhcompare/</w:t>
        </w:r>
      </w:hyperlink>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lastRenderedPageBreak/>
        <w:t>Quality Improvement</w:t>
      </w:r>
    </w:p>
    <w:p w:rsidR="007C276D" w:rsidRPr="00016073" w:rsidRDefault="007C276D" w:rsidP="00E81F46">
      <w:pPr>
        <w:pStyle w:val="ListParagraph"/>
        <w:keepNext/>
        <w:keepLines/>
        <w:numPr>
          <w:ilvl w:val="0"/>
          <w:numId w:val="10"/>
        </w:numPr>
        <w:spacing w:after="0" w:line="276" w:lineRule="auto"/>
        <w:outlineLvl w:val="2"/>
        <w:rPr>
          <w:b/>
          <w:szCs w:val="20"/>
        </w:rPr>
      </w:pPr>
      <w:r w:rsidRPr="00016073">
        <w:rPr>
          <w:b/>
          <w:szCs w:val="20"/>
        </w:rPr>
        <w:t>Meaningful, understandable and useful</w:t>
      </w:r>
    </w:p>
    <w:p w:rsidR="007C276D" w:rsidRPr="00016073" w:rsidRDefault="007C276D" w:rsidP="00E81F46">
      <w:pPr>
        <w:pStyle w:val="Body2"/>
      </w:pPr>
      <w:r w:rsidRPr="00016073">
        <w:t>3b.1</w:t>
      </w:r>
      <w:r w:rsidR="00026658">
        <w:t xml:space="preserve">.  </w:t>
      </w:r>
      <w:r w:rsidRPr="00016073">
        <w:t>Use in QI (If used in quality improvement program, provide name of program(s), locations, Web page URL(s))</w:t>
      </w:r>
    </w:p>
    <w:p w:rsidR="007C276D" w:rsidRPr="00016073" w:rsidRDefault="007C276D" w:rsidP="00E81F46">
      <w:pPr>
        <w:pStyle w:val="Body2"/>
      </w:pPr>
      <w:r w:rsidRPr="00016073">
        <w:t>3b.2</w:t>
      </w:r>
      <w:r w:rsidR="00026658">
        <w:t xml:space="preserve">.  </w:t>
      </w:r>
      <w:r w:rsidRPr="00016073">
        <w:t>Provide a rationale for why the measure performance results are meaningful, understandable, and useful for quality improvement</w:t>
      </w:r>
      <w:r w:rsidR="00026658">
        <w:t xml:space="preserve">.  </w:t>
      </w:r>
      <w:r w:rsidRPr="00016073">
        <w:t>If usefulness was demonstrated (</w:t>
      </w:r>
      <w:r w:rsidR="003B5EB5" w:rsidRPr="00016073">
        <w:t>for example</w:t>
      </w:r>
      <w:r w:rsidRPr="00016073">
        <w:t>, QI, initiative) describe the data, method and results</w:t>
      </w:r>
    </w:p>
    <w:p w:rsidR="007B38BB" w:rsidRPr="00016073" w:rsidRDefault="007B38BB" w:rsidP="00396E7C">
      <w:pPr>
        <w:pStyle w:val="Body"/>
        <w:rPr>
          <w:i/>
        </w:rPr>
      </w:pPr>
      <w:r w:rsidRPr="00016073">
        <w:t xml:space="preserve">CMS expects that the quality measure will be used by nursing facilities as a tool to evaluate their own performance and develop quality improvement programs, which </w:t>
      </w:r>
      <w:r w:rsidR="002E7B3E" w:rsidRPr="00016073">
        <w:t>can potentially</w:t>
      </w:r>
      <w:r w:rsidRPr="00016073">
        <w:t xml:space="preserve"> reduce unwarranted antipsychotic prescribing.</w:t>
      </w:r>
    </w:p>
    <w:p w:rsidR="007C276D" w:rsidRPr="00016073" w:rsidRDefault="007C276D" w:rsidP="00E81F46">
      <w:pPr>
        <w:pStyle w:val="ListParagraph"/>
        <w:keepNext/>
        <w:keepLines/>
        <w:numPr>
          <w:ilvl w:val="0"/>
          <w:numId w:val="10"/>
        </w:numPr>
        <w:spacing w:after="0" w:line="276" w:lineRule="auto"/>
        <w:outlineLvl w:val="2"/>
        <w:rPr>
          <w:b/>
          <w:szCs w:val="20"/>
        </w:rPr>
      </w:pPr>
      <w:r w:rsidRPr="00016073">
        <w:rPr>
          <w:b/>
          <w:szCs w:val="20"/>
        </w:rPr>
        <w:t>Other accountability uses</w:t>
      </w:r>
    </w:p>
    <w:p w:rsidR="007C276D" w:rsidRPr="00016073" w:rsidRDefault="007C276D" w:rsidP="00E81F46">
      <w:pPr>
        <w:pStyle w:val="Body2"/>
      </w:pPr>
      <w:r w:rsidRPr="00016073">
        <w:t>3.2</w:t>
      </w:r>
      <w:r w:rsidR="00026658">
        <w:t xml:space="preserve">.  </w:t>
      </w:r>
      <w:r w:rsidRPr="00016073">
        <w:t>Use for other accountability functions (payment, certification, accreditation) (If used in a public accountability program, provide name of program(s), locations, Web page URL(s))</w:t>
      </w:r>
      <w:r w:rsidR="00026658">
        <w:t xml:space="preserve">.  </w:t>
      </w:r>
      <w:r w:rsidRPr="00016073">
        <w:t>This row may be deleted if not applicable.</w:t>
      </w:r>
    </w:p>
    <w:p w:rsidR="007B38BB" w:rsidRPr="00016073" w:rsidRDefault="007B38BB" w:rsidP="00396E7C">
      <w:pPr>
        <w:pStyle w:val="Body"/>
      </w:pPr>
      <w:r w:rsidRPr="00016073">
        <w:t>This is not applicable.</w:t>
      </w:r>
    </w:p>
    <w:p w:rsidR="007C276D" w:rsidRPr="00016073" w:rsidRDefault="007C276D" w:rsidP="007C276D">
      <w:pPr>
        <w:rPr>
          <w:rFonts w:asciiTheme="majorHAnsi" w:hAnsiTheme="majorHAnsi"/>
          <w:b/>
          <w:sz w:val="20"/>
          <w:szCs w:val="20"/>
        </w:rPr>
      </w:pPr>
      <w:r w:rsidRPr="00016073">
        <w:rPr>
          <w:rFonts w:asciiTheme="majorHAnsi" w:hAnsiTheme="majorHAnsi"/>
          <w:b/>
          <w:sz w:val="20"/>
          <w:szCs w:val="20"/>
        </w:rPr>
        <w:t>Feasibility</w:t>
      </w:r>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How the data elements needed to compute measure score are generated</w:t>
      </w:r>
    </w:p>
    <w:p w:rsidR="007C276D" w:rsidRPr="00016073" w:rsidRDefault="007C276D" w:rsidP="00E81F46">
      <w:pPr>
        <w:pStyle w:val="Body2"/>
      </w:pPr>
      <w:r w:rsidRPr="00016073">
        <w:t>4a.1</w:t>
      </w:r>
      <w:r w:rsidR="00026658">
        <w:t xml:space="preserve">.  </w:t>
      </w:r>
      <w:r w:rsidRPr="00016073">
        <w:t>How are the data elements needed to compute measure scores generated? State all that apply</w:t>
      </w:r>
      <w:r w:rsidR="00026658">
        <w:t xml:space="preserve">.  </w:t>
      </w:r>
      <w:r w:rsidRPr="00016073">
        <w:t>Data used in the measure are:</w:t>
      </w:r>
    </w:p>
    <w:p w:rsidR="007C276D" w:rsidRPr="00016073" w:rsidRDefault="007C276D" w:rsidP="00E81F46">
      <w:pPr>
        <w:pStyle w:val="ListParagraph"/>
        <w:keepNext/>
        <w:keepLines/>
        <w:numPr>
          <w:ilvl w:val="0"/>
          <w:numId w:val="10"/>
        </w:numPr>
        <w:spacing w:after="0" w:line="276" w:lineRule="auto"/>
        <w:outlineLvl w:val="2"/>
        <w:rPr>
          <w:i/>
          <w:szCs w:val="20"/>
        </w:rPr>
      </w:pPr>
      <w:r w:rsidRPr="00016073">
        <w:rPr>
          <w:i/>
          <w:szCs w:val="20"/>
        </w:rPr>
        <w:t>Generated by and used by health care personnel</w:t>
      </w:r>
      <w:r w:rsidR="003B5EB5" w:rsidRPr="00016073">
        <w:rPr>
          <w:i/>
          <w:szCs w:val="20"/>
        </w:rPr>
        <w:t xml:space="preserve"> during the provision of care (for example</w:t>
      </w:r>
      <w:r w:rsidRPr="00016073">
        <w:rPr>
          <w:i/>
          <w:szCs w:val="20"/>
        </w:rPr>
        <w:t>, blood pressure, lab value, medical condition)</w:t>
      </w:r>
    </w:p>
    <w:p w:rsidR="007C276D" w:rsidRPr="00016073" w:rsidRDefault="007C276D" w:rsidP="00D86882">
      <w:pPr>
        <w:pStyle w:val="ListParagraph"/>
        <w:keepNext/>
        <w:keepLines/>
        <w:spacing w:after="0" w:line="276" w:lineRule="auto"/>
        <w:ind w:left="1080"/>
        <w:outlineLvl w:val="2"/>
        <w:rPr>
          <w:i/>
          <w:szCs w:val="20"/>
        </w:rPr>
      </w:pPr>
      <w:r w:rsidRPr="00016073">
        <w:rPr>
          <w:i/>
          <w:szCs w:val="20"/>
        </w:rPr>
        <w:t>Coded by someone other than person obtaining original information (</w:t>
      </w:r>
      <w:r w:rsidR="003B5EB5" w:rsidRPr="00016073">
        <w:rPr>
          <w:i/>
          <w:szCs w:val="20"/>
        </w:rPr>
        <w:t>for example</w:t>
      </w:r>
      <w:r w:rsidRPr="00016073">
        <w:rPr>
          <w:i/>
          <w:szCs w:val="20"/>
        </w:rPr>
        <w:t>, DRG, ICD-9 codes on claims)</w:t>
      </w:r>
    </w:p>
    <w:p w:rsidR="007C276D" w:rsidRPr="00016073" w:rsidRDefault="007C276D" w:rsidP="00E81F46">
      <w:pPr>
        <w:pStyle w:val="ListParagraph"/>
        <w:keepNext/>
        <w:keepLines/>
        <w:numPr>
          <w:ilvl w:val="0"/>
          <w:numId w:val="10"/>
        </w:numPr>
        <w:spacing w:after="0" w:line="276" w:lineRule="auto"/>
        <w:outlineLvl w:val="2"/>
        <w:rPr>
          <w:i/>
          <w:szCs w:val="20"/>
        </w:rPr>
      </w:pPr>
      <w:r w:rsidRPr="00016073">
        <w:rPr>
          <w:i/>
          <w:szCs w:val="20"/>
        </w:rPr>
        <w:t>Abstracted from a record by someone other than person obtaining original information (</w:t>
      </w:r>
      <w:r w:rsidR="003B5EB5" w:rsidRPr="00016073">
        <w:rPr>
          <w:i/>
          <w:szCs w:val="20"/>
        </w:rPr>
        <w:t>for example</w:t>
      </w:r>
      <w:r w:rsidRPr="00016073">
        <w:rPr>
          <w:i/>
          <w:szCs w:val="20"/>
        </w:rPr>
        <w:t>, chart abstraction for quality measure or registry)</w:t>
      </w:r>
      <w:r w:rsidR="00D86882" w:rsidRPr="00016073">
        <w:rPr>
          <w:i/>
          <w:szCs w:val="20"/>
        </w:rPr>
        <w:t xml:space="preserve"> </w:t>
      </w:r>
      <w:r w:rsidRPr="00016073">
        <w:rPr>
          <w:i/>
          <w:szCs w:val="20"/>
        </w:rPr>
        <w:t>Other</w:t>
      </w:r>
    </w:p>
    <w:p w:rsidR="004C3295" w:rsidRPr="00016073" w:rsidRDefault="004C3295" w:rsidP="00396E7C">
      <w:pPr>
        <w:pStyle w:val="Body"/>
        <w:rPr>
          <w:i/>
        </w:rPr>
      </w:pPr>
      <w:r w:rsidRPr="00016073">
        <w:t>Data generated as byproduct of care processes during care delivery (Data are generated and used by healthcare personnel during the provision of care, e.g., blood pressure, lab value, medical condition), coding/abstraction performed by someone other than person obtaining original information (</w:t>
      </w:r>
      <w:r w:rsidR="00E477E4" w:rsidRPr="00016073">
        <w:t>e</w:t>
      </w:r>
      <w:r w:rsidRPr="00016073">
        <w:t>.g., DRG, ICD-9codes on claims, chart abstraction for quality measure or registry)</w:t>
      </w:r>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Electronic availability</w:t>
      </w:r>
    </w:p>
    <w:p w:rsidR="007C276D" w:rsidRPr="00016073" w:rsidRDefault="007C276D" w:rsidP="00E81F46">
      <w:pPr>
        <w:pStyle w:val="Body2"/>
      </w:pPr>
      <w:r w:rsidRPr="00016073">
        <w:t>4b.1</w:t>
      </w:r>
      <w:r w:rsidR="00026658">
        <w:t xml:space="preserve">.  </w:t>
      </w:r>
      <w:r w:rsidRPr="00016073">
        <w:t>Are the data elements needed for the measure as specified available electronically (elements that are needed to compute measure scores are in defined, computer-readable fields)?</w:t>
      </w:r>
    </w:p>
    <w:p w:rsidR="007C276D" w:rsidRPr="00016073" w:rsidRDefault="007C276D" w:rsidP="00E81F46">
      <w:pPr>
        <w:pStyle w:val="ListParagraph"/>
        <w:keepNext/>
        <w:keepLines/>
        <w:numPr>
          <w:ilvl w:val="0"/>
          <w:numId w:val="10"/>
        </w:numPr>
        <w:spacing w:after="0" w:line="276" w:lineRule="auto"/>
        <w:outlineLvl w:val="2"/>
        <w:rPr>
          <w:i/>
          <w:szCs w:val="20"/>
        </w:rPr>
      </w:pPr>
      <w:r w:rsidRPr="00016073">
        <w:rPr>
          <w:i/>
          <w:szCs w:val="20"/>
        </w:rPr>
        <w:t>ALL data elements in electronic health records (EHRs)</w:t>
      </w:r>
    </w:p>
    <w:p w:rsidR="007C276D" w:rsidRPr="00016073" w:rsidRDefault="007C276D" w:rsidP="00E81F46">
      <w:pPr>
        <w:pStyle w:val="ListParagraph"/>
        <w:keepNext/>
        <w:keepLines/>
        <w:numPr>
          <w:ilvl w:val="0"/>
          <w:numId w:val="10"/>
        </w:numPr>
        <w:spacing w:after="0" w:line="276" w:lineRule="auto"/>
        <w:outlineLvl w:val="2"/>
        <w:rPr>
          <w:i/>
          <w:szCs w:val="20"/>
        </w:rPr>
      </w:pPr>
      <w:r w:rsidRPr="00016073">
        <w:rPr>
          <w:i/>
          <w:szCs w:val="20"/>
        </w:rPr>
        <w:t>ALL data elements in electronic claims</w:t>
      </w:r>
    </w:p>
    <w:p w:rsidR="007C276D" w:rsidRPr="00016073" w:rsidRDefault="007C276D" w:rsidP="00E81F46">
      <w:pPr>
        <w:pStyle w:val="ListParagraph"/>
        <w:keepNext/>
        <w:keepLines/>
        <w:numPr>
          <w:ilvl w:val="0"/>
          <w:numId w:val="10"/>
        </w:numPr>
        <w:spacing w:after="0" w:line="276" w:lineRule="auto"/>
        <w:outlineLvl w:val="2"/>
        <w:rPr>
          <w:i/>
          <w:szCs w:val="20"/>
        </w:rPr>
      </w:pPr>
      <w:r w:rsidRPr="00016073">
        <w:rPr>
          <w:i/>
          <w:szCs w:val="20"/>
        </w:rPr>
        <w:t>ALL data elements are in a combination of electronic sources (describe)</w:t>
      </w:r>
    </w:p>
    <w:p w:rsidR="007C276D" w:rsidRPr="00016073" w:rsidRDefault="007C276D" w:rsidP="00E81F46">
      <w:pPr>
        <w:pStyle w:val="ListParagraph"/>
        <w:keepNext/>
        <w:keepLines/>
        <w:numPr>
          <w:ilvl w:val="0"/>
          <w:numId w:val="10"/>
        </w:numPr>
        <w:spacing w:after="0" w:line="276" w:lineRule="auto"/>
        <w:outlineLvl w:val="2"/>
        <w:rPr>
          <w:i/>
          <w:szCs w:val="20"/>
        </w:rPr>
      </w:pPr>
      <w:r w:rsidRPr="00016073">
        <w:rPr>
          <w:i/>
          <w:szCs w:val="20"/>
        </w:rPr>
        <w:t>Some data elements are in electronic sources (describe)</w:t>
      </w:r>
    </w:p>
    <w:p w:rsidR="007C276D" w:rsidRPr="00016073" w:rsidRDefault="007C276D" w:rsidP="00E81F46">
      <w:pPr>
        <w:numPr>
          <w:ilvl w:val="0"/>
          <w:numId w:val="7"/>
        </w:numPr>
        <w:spacing w:before="0" w:after="0" w:line="276" w:lineRule="auto"/>
        <w:ind w:left="1440"/>
        <w:contextualSpacing/>
        <w:rPr>
          <w:i/>
          <w:sz w:val="20"/>
          <w:szCs w:val="20"/>
        </w:rPr>
      </w:pPr>
      <w:r w:rsidRPr="00016073">
        <w:rPr>
          <w:i/>
          <w:sz w:val="20"/>
          <w:szCs w:val="20"/>
        </w:rPr>
        <w:t>No data elements are in electronic sources</w:t>
      </w:r>
    </w:p>
    <w:p w:rsidR="004C3295" w:rsidRPr="00016073" w:rsidRDefault="004C3295" w:rsidP="00396E7C">
      <w:pPr>
        <w:pStyle w:val="Body"/>
        <w:rPr>
          <w:i/>
        </w:rPr>
      </w:pPr>
      <w:r w:rsidRPr="00016073">
        <w:t>No, but data elements used to calculate the quality measures are available electronically.</w:t>
      </w:r>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Susceptibility to inaccuracies, errors, or unintended consequences</w:t>
      </w:r>
    </w:p>
    <w:p w:rsidR="007C276D" w:rsidRPr="00016073" w:rsidRDefault="007C276D" w:rsidP="00E81F46">
      <w:pPr>
        <w:pStyle w:val="Body2"/>
      </w:pPr>
      <w:bookmarkStart w:id="18" w:name="_GoBack"/>
      <w:r w:rsidRPr="00016073">
        <w:t>4c.1</w:t>
      </w:r>
      <w:bookmarkEnd w:id="18"/>
      <w:r w:rsidR="00026658">
        <w:t xml:space="preserve">.  </w:t>
      </w:r>
      <w:r w:rsidRPr="00016073">
        <w:t>Identify susceptibility to inaccuracies, errors, or unintended consequences of measurement identified during testing and/or operational use and strategies to prevent, minimize, or detect</w:t>
      </w:r>
      <w:r w:rsidR="00026658">
        <w:t xml:space="preserve">.  </w:t>
      </w:r>
      <w:r w:rsidRPr="00016073">
        <w:t>If audited, provide results.</w:t>
      </w:r>
    </w:p>
    <w:p w:rsidR="009E111F" w:rsidRPr="00016073" w:rsidRDefault="006D738C" w:rsidP="00396E7C">
      <w:pPr>
        <w:pStyle w:val="Body"/>
      </w:pPr>
      <w:r w:rsidRPr="00016073">
        <w:lastRenderedPageBreak/>
        <w:t xml:space="preserve">First, </w:t>
      </w:r>
      <w:r w:rsidR="009E111F" w:rsidRPr="00016073">
        <w:t>MDS 3.0 may underreport disease diagnoses</w:t>
      </w:r>
      <w:r w:rsidR="00026658">
        <w:t xml:space="preserve">.  </w:t>
      </w:r>
      <w:r w:rsidR="009E111F" w:rsidRPr="00016073">
        <w:t>A study using MDS data found the prevalence of antipsychotic use to be 27.6% in 2006</w:t>
      </w:r>
      <w:r w:rsidR="00B7597B" w:rsidRPr="00016073">
        <w:t xml:space="preserve"> (Crystal et al., 2009)</w:t>
      </w:r>
      <w:r w:rsidR="00026658">
        <w:t xml:space="preserve">.  </w:t>
      </w:r>
      <w:r w:rsidR="009E111F" w:rsidRPr="00016073">
        <w:t>The results from this study indicated that 64.2% of residents receiving antipsychotic medication have no characteristics that necessitate the prescribing</w:t>
      </w:r>
      <w:r w:rsidR="00662F57" w:rsidRPr="00016073">
        <w:t xml:space="preserve"> (</w:t>
      </w:r>
      <w:r w:rsidR="00467225" w:rsidRPr="00016073">
        <w:t>Crystal et al., 2009)</w:t>
      </w:r>
      <w:r w:rsidR="00026658">
        <w:t xml:space="preserve">.  </w:t>
      </w:r>
      <w:r w:rsidR="009E111F" w:rsidRPr="00016073">
        <w:t>Another study using Medicare claims and drug dispensing data reported the prevalence of antipsychotic use in 2000-2001 also to be 27.6%</w:t>
      </w:r>
      <w:r w:rsidR="00662F57" w:rsidRPr="00016073">
        <w:t xml:space="preserve"> (</w:t>
      </w:r>
      <w:r w:rsidR="00467225" w:rsidRPr="00016073">
        <w:t>Briesacher et al., 2005)</w:t>
      </w:r>
      <w:r w:rsidR="00026658">
        <w:t xml:space="preserve">.  </w:t>
      </w:r>
      <w:r w:rsidR="009E111F" w:rsidRPr="00016073">
        <w:t>However, this study suggested that 32.2% of residents receiving antipsychotic had no appropriate indications</w:t>
      </w:r>
      <w:r w:rsidR="00026658">
        <w:t xml:space="preserve">.  </w:t>
      </w:r>
      <w:r w:rsidR="009E111F" w:rsidRPr="00016073">
        <w:t>The discrepancies between the results from the two studies could reflect a time trend, but more likely they indicate undercoding of disease diagnoses in MDS</w:t>
      </w:r>
      <w:r w:rsidR="00026658">
        <w:t xml:space="preserve">.  </w:t>
      </w:r>
      <w:r w:rsidR="009E111F" w:rsidRPr="00016073">
        <w:t>Hence, public reporting antipsychotic use may unintendedly motivate nursing homes to reduce undercoding of diseases which can also be viewed as a quality improvement.</w:t>
      </w:r>
    </w:p>
    <w:p w:rsidR="00606726" w:rsidRPr="00016073" w:rsidRDefault="006D738C" w:rsidP="00396E7C">
      <w:pPr>
        <w:pStyle w:val="Body"/>
      </w:pPr>
      <w:r w:rsidRPr="00016073">
        <w:t>Second, r</w:t>
      </w:r>
      <w:r w:rsidR="00D26F08" w:rsidRPr="00016073">
        <w:t xml:space="preserve">esults from the Antipsychotic Discontinuation in Alzheimer’s Disease (ADAD) trial, </w:t>
      </w:r>
      <w:r w:rsidR="00606726" w:rsidRPr="00016073">
        <w:t xml:space="preserve">published </w:t>
      </w:r>
      <w:r w:rsidR="00D26F08" w:rsidRPr="00016073">
        <w:t xml:space="preserve">recently </w:t>
      </w:r>
      <w:r w:rsidR="00606726" w:rsidRPr="00016073">
        <w:t xml:space="preserve">in the </w:t>
      </w:r>
      <w:r w:rsidR="00606726" w:rsidRPr="00016073">
        <w:rPr>
          <w:i/>
        </w:rPr>
        <w:t>New England Journal of Medicine</w:t>
      </w:r>
      <w:r w:rsidR="00D26F08" w:rsidRPr="00016073">
        <w:rPr>
          <w:i/>
        </w:rPr>
        <w:t>,</w:t>
      </w:r>
      <w:r w:rsidR="00606726" w:rsidRPr="00016073">
        <w:t xml:space="preserve"> found higher rates of relapse after discontinuation of </w:t>
      </w:r>
      <w:r w:rsidR="007714D3" w:rsidRPr="00016073">
        <w:t>R</w:t>
      </w:r>
      <w:r w:rsidR="00606726" w:rsidRPr="00016073">
        <w:t xml:space="preserve">isperidone treatment </w:t>
      </w:r>
      <w:r w:rsidR="00881FE7" w:rsidRPr="00016073">
        <w:t xml:space="preserve">(an </w:t>
      </w:r>
      <w:r w:rsidR="0056230A" w:rsidRPr="00016073">
        <w:t xml:space="preserve">antipsychotic </w:t>
      </w:r>
      <w:r w:rsidR="00881FE7" w:rsidRPr="00016073">
        <w:t xml:space="preserve">medication) </w:t>
      </w:r>
      <w:r w:rsidR="00606726" w:rsidRPr="00016073">
        <w:t xml:space="preserve">among patients with Alzheimer’s disease experiencing psychosis or agitation who initially responded to </w:t>
      </w:r>
      <w:r w:rsidR="007714D3" w:rsidRPr="00016073">
        <w:t>R</w:t>
      </w:r>
      <w:r w:rsidR="00606726" w:rsidRPr="00016073">
        <w:t>isperidone treatment</w:t>
      </w:r>
      <w:r w:rsidR="00881FE7" w:rsidRPr="00016073">
        <w:t xml:space="preserve"> (Devanand et al., 2012)</w:t>
      </w:r>
      <w:r w:rsidR="00026658">
        <w:t xml:space="preserve">.  </w:t>
      </w:r>
      <w:r w:rsidR="00606726" w:rsidRPr="00016073">
        <w:t>One significant limitation of this study was its small sample size</w:t>
      </w:r>
      <w:r w:rsidR="00D26F08" w:rsidRPr="00016073">
        <w:t>; h</w:t>
      </w:r>
      <w:r w:rsidR="00606726" w:rsidRPr="00016073">
        <w:t xml:space="preserve">owever, this study </w:t>
      </w:r>
      <w:r w:rsidR="007015C8" w:rsidRPr="00016073">
        <w:t xml:space="preserve">focused on </w:t>
      </w:r>
      <w:r w:rsidR="0056230A" w:rsidRPr="00016073">
        <w:t>antipsychotic medication</w:t>
      </w:r>
      <w:r w:rsidR="0056230A" w:rsidRPr="00016073" w:rsidDel="0056230A">
        <w:t xml:space="preserve"> </w:t>
      </w:r>
      <w:r w:rsidR="007015C8" w:rsidRPr="00016073">
        <w:t>use</w:t>
      </w:r>
      <w:r w:rsidR="0056230A" w:rsidRPr="00016073">
        <w:t xml:space="preserve"> with appropriate indications</w:t>
      </w:r>
      <w:r w:rsidR="00026658">
        <w:t xml:space="preserve">.  </w:t>
      </w:r>
      <w:r w:rsidR="00606726" w:rsidRPr="00016073">
        <w:t>The current measure proposed here minimizes the possibility of unintended consequences by applying exclusions to the denominator</w:t>
      </w:r>
      <w:r w:rsidR="00026658">
        <w:t xml:space="preserve">.  </w:t>
      </w:r>
    </w:p>
    <w:p w:rsidR="00450C0E" w:rsidRPr="004274C1" w:rsidRDefault="006D738C" w:rsidP="004274C1">
      <w:pPr>
        <w:pStyle w:val="Body"/>
      </w:pPr>
      <w:r w:rsidRPr="00016073">
        <w:t>Third, t</w:t>
      </w:r>
      <w:r w:rsidR="00450C0E" w:rsidRPr="00016073">
        <w:t>here may be some instances in which behavioral disturbances or agitation in patients with dementia may be treated unsuccessfull</w:t>
      </w:r>
      <w:r w:rsidR="00450C0E" w:rsidRPr="004274C1">
        <w:t>y with non-pharmacologic method; therefore, pharmacologic treatment including antipsychotic medications may be chosen as the next line of treatment</w:t>
      </w:r>
      <w:r w:rsidR="00026658" w:rsidRPr="004274C1">
        <w:t xml:space="preserve">.  </w:t>
      </w:r>
      <w:r w:rsidR="00110F9E" w:rsidRPr="004274C1">
        <w:t>A recent review conducted for the Veteran’s Health Administration reviewed several non-pharmacological interventions to treat behavioral symptoms associated with dementia</w:t>
      </w:r>
      <w:r w:rsidR="004274C1">
        <w:t xml:space="preserve"> (O’Neil et al., 2011).</w:t>
      </w:r>
      <w:r w:rsidR="00026658" w:rsidRPr="004274C1">
        <w:t xml:space="preserve">  </w:t>
      </w:r>
      <w:r w:rsidR="00AD1812" w:rsidRPr="004274C1">
        <w:t xml:space="preserve">While there was insufficient evidence to draw conclusions about the overall efficacy of many </w:t>
      </w:r>
      <w:r w:rsidR="0006412B" w:rsidRPr="004274C1">
        <w:t xml:space="preserve">non-pharmacological </w:t>
      </w:r>
      <w:r w:rsidR="00AD1812" w:rsidRPr="004274C1">
        <w:t>interventions, some evaluations suggested mixed evidence</w:t>
      </w:r>
      <w:r w:rsidR="0006412B" w:rsidRPr="004274C1">
        <w:t xml:space="preserve"> or adverse effects</w:t>
      </w:r>
      <w:r w:rsidR="00026658" w:rsidRPr="004274C1">
        <w:t xml:space="preserve">.  </w:t>
      </w:r>
      <w:r w:rsidR="00450C0E" w:rsidRPr="004274C1">
        <w:t>This measure, which does not exclude residents with behavior symptoms, may thus result in a disincentive for facilities to take individuals whose behavior symptoms are successfully controlled by antipsychotic medications</w:t>
      </w:r>
      <w:r w:rsidR="00026658" w:rsidRPr="004274C1">
        <w:t xml:space="preserve">.  </w:t>
      </w:r>
      <w:r w:rsidR="00450C0E" w:rsidRPr="004274C1">
        <w:t>However, overall, antipsychotic medications may pose more risk than benefit to individuals with behavior symptoms</w:t>
      </w:r>
      <w:r w:rsidR="00026658" w:rsidRPr="004274C1">
        <w:t xml:space="preserve">.  </w:t>
      </w:r>
      <w:r w:rsidR="00450C0E" w:rsidRPr="004274C1">
        <w:t>In 2005, the Food and Drug Administration (FDA) issued a black box warning that stated, 'Treatment of behavioral disorders in elderly patients with dementia with atypical antipsychotic medications is associated with increased mortality</w:t>
      </w:r>
      <w:r w:rsidR="00026658" w:rsidRPr="004274C1">
        <w:t xml:space="preserve">.  </w:t>
      </w:r>
      <w:r w:rsidR="00450C0E" w:rsidRPr="004274C1">
        <w:t>'" The evidence on which the black box warning was based came from a meta-analysis of data from 17 randomized trials with a total of 5,106 patients which identified an “approximately 1.6- to 1.7-fold increase in mortality in the combined studies” (Rosack, 2005)</w:t>
      </w:r>
      <w:r w:rsidR="00026658" w:rsidRPr="004274C1">
        <w:t xml:space="preserve">.  </w:t>
      </w:r>
      <w:r w:rsidR="00450C0E" w:rsidRPr="004274C1">
        <w:t>Furthermore, excluding residents with behavior symptoms from the measure may introduce inaccuracies by incentivizing facilities to “upcode” behavior symptoms on MDS 3.0</w:t>
      </w:r>
      <w:r w:rsidR="00026658" w:rsidRPr="004274C1">
        <w:t xml:space="preserve">.  </w:t>
      </w:r>
    </w:p>
    <w:p w:rsidR="006D738C" w:rsidRDefault="006D738C" w:rsidP="00396E7C">
      <w:pPr>
        <w:pStyle w:val="Body"/>
      </w:pPr>
      <w:r w:rsidRPr="004274C1">
        <w:t>Fo</w:t>
      </w:r>
      <w:r w:rsidR="005517BF" w:rsidRPr="004274C1">
        <w:t>u</w:t>
      </w:r>
      <w:r w:rsidRPr="004274C1">
        <w:t>rth, the current measure denominator exclusions do not include bipolar, that is, residents with bipolar disorder are included in the QM calculation</w:t>
      </w:r>
      <w:r w:rsidR="00026658" w:rsidRPr="004274C1">
        <w:t xml:space="preserve">.  </w:t>
      </w:r>
      <w:r w:rsidRPr="004274C1">
        <w:t xml:space="preserve">The use of </w:t>
      </w:r>
      <w:r w:rsidR="004A62F8" w:rsidRPr="004274C1">
        <w:t>a</w:t>
      </w:r>
      <w:r w:rsidRPr="004274C1">
        <w:t>ntipsychotics among residents with bipolar disorder may not always be indicative of poor quality</w:t>
      </w:r>
      <w:r w:rsidR="00026658" w:rsidRPr="004274C1">
        <w:t xml:space="preserve">.  </w:t>
      </w:r>
      <w:r w:rsidR="006A4578" w:rsidRPr="004274C1">
        <w:t>Nursing homes</w:t>
      </w:r>
      <w:r w:rsidRPr="004274C1">
        <w:t xml:space="preserve"> caring for residents with bipolar disorder stabilized by </w:t>
      </w:r>
      <w:r w:rsidR="004A62F8" w:rsidRPr="004274C1">
        <w:t>a</w:t>
      </w:r>
      <w:r w:rsidRPr="004274C1">
        <w:t xml:space="preserve">ntipsychotics may </w:t>
      </w:r>
      <w:r w:rsidR="006A4578" w:rsidRPr="004274C1">
        <w:t xml:space="preserve">have </w:t>
      </w:r>
      <w:r w:rsidR="00414582" w:rsidRPr="004274C1">
        <w:t xml:space="preserve">a </w:t>
      </w:r>
      <w:r w:rsidR="006A4578" w:rsidRPr="004274C1">
        <w:t>high score for this QM (</w:t>
      </w:r>
      <w:r w:rsidR="00807F28" w:rsidRPr="004274C1">
        <w:t>indicating poorer</w:t>
      </w:r>
      <w:r w:rsidR="006A4578" w:rsidRPr="004274C1">
        <w:t xml:space="preserve"> quality)</w:t>
      </w:r>
      <w:r w:rsidR="00026658" w:rsidRPr="004274C1">
        <w:t xml:space="preserve">.  </w:t>
      </w:r>
      <w:r w:rsidR="000C0B97" w:rsidRPr="004274C1">
        <w:t xml:space="preserve">However, residents with bipolar disorder are not excluded from the current measure denominator </w:t>
      </w:r>
      <w:r w:rsidR="00807F28" w:rsidRPr="004274C1">
        <w:t>for</w:t>
      </w:r>
      <w:r w:rsidR="000C0B97" w:rsidRPr="004274C1">
        <w:t xml:space="preserve"> two reasons</w:t>
      </w:r>
      <w:r w:rsidR="00026658" w:rsidRPr="004274C1">
        <w:t xml:space="preserve">.  </w:t>
      </w:r>
      <w:r w:rsidR="00807F28" w:rsidRPr="004274C1">
        <w:t>First, nationally, of the small percentage of long-stay residents (4.6% in Quarter 2 2012) who have bipolar disorder 26</w:t>
      </w:r>
      <w:r w:rsidR="00134A50">
        <w:t>.5</w:t>
      </w:r>
      <w:r w:rsidR="00807F28" w:rsidRPr="004274C1">
        <w:t xml:space="preserve">% also have a diagnosis of schizophrenia and are therefore excluded from the QM based on the current exclusion </w:t>
      </w:r>
      <w:r w:rsidR="000C0B97" w:rsidRPr="004274C1">
        <w:t>criteria)</w:t>
      </w:r>
      <w:r w:rsidR="00026658" w:rsidRPr="004274C1">
        <w:t xml:space="preserve">.  </w:t>
      </w:r>
      <w:r w:rsidR="000C0B97" w:rsidRPr="004274C1">
        <w:t>Second, l</w:t>
      </w:r>
      <w:r w:rsidR="00414582" w:rsidRPr="004274C1">
        <w:t>ong-</w:t>
      </w:r>
      <w:r w:rsidR="000C0B97" w:rsidRPr="004274C1">
        <w:t xml:space="preserve">stay residents with bipolar disorder </w:t>
      </w:r>
      <w:r w:rsidR="00436447" w:rsidRPr="004274C1">
        <w:t xml:space="preserve">are </w:t>
      </w:r>
      <w:r w:rsidR="000C0B97" w:rsidRPr="004274C1">
        <w:t xml:space="preserve">sometimes </w:t>
      </w:r>
      <w:r w:rsidR="00436447" w:rsidRPr="004274C1">
        <w:t>diagnosed with bipolar</w:t>
      </w:r>
      <w:r w:rsidR="000C0B97" w:rsidRPr="004274C1">
        <w:t xml:space="preserve"> after being admitted to the nursing home</w:t>
      </w:r>
      <w:r w:rsidR="00026658" w:rsidRPr="004274C1">
        <w:t xml:space="preserve">.  </w:t>
      </w:r>
      <w:r w:rsidR="000C0B97" w:rsidRPr="004274C1">
        <w:t>For example, for the 4.6% of long-stay residents who had a diagnosis of bipolar disorder at the end of Quarter 2 2012, 28</w:t>
      </w:r>
      <w:r w:rsidR="00AE01EC">
        <w:t>.0</w:t>
      </w:r>
      <w:r w:rsidR="000C0B97" w:rsidRPr="004274C1">
        <w:t xml:space="preserve">% started their episode of care without a </w:t>
      </w:r>
      <w:r w:rsidR="0062434B" w:rsidRPr="004274C1">
        <w:t xml:space="preserve">bipolar </w:t>
      </w:r>
      <w:r w:rsidR="000C0B97" w:rsidRPr="004274C1">
        <w:t>diagnosis</w:t>
      </w:r>
      <w:r w:rsidR="00026658" w:rsidRPr="004274C1">
        <w:t xml:space="preserve">.  </w:t>
      </w:r>
      <w:r w:rsidR="000C0B97" w:rsidRPr="004274C1">
        <w:t xml:space="preserve">Among the long-stay residents for whom bipolar disorder was </w:t>
      </w:r>
      <w:r w:rsidR="0062434B" w:rsidRPr="004274C1">
        <w:t>diagnosed</w:t>
      </w:r>
      <w:r w:rsidR="000C0B97" w:rsidRPr="004274C1">
        <w:t xml:space="preserve"> during the episode of care, 66.4% received an antipsychotic medication on the target assessment (the last assessment in Quarter 2 2012)</w:t>
      </w:r>
      <w:r w:rsidR="00026658" w:rsidRPr="004274C1">
        <w:t xml:space="preserve">.  </w:t>
      </w:r>
      <w:r w:rsidR="0062434B" w:rsidRPr="004274C1">
        <w:t>These numbers raise i</w:t>
      </w:r>
      <w:r w:rsidR="0062434B" w:rsidRPr="00016073">
        <w:t>ssues regarding any association between bipol</w:t>
      </w:r>
      <w:r w:rsidR="004A62F8" w:rsidRPr="00016073">
        <w:t>ar diagnosis timing and use of a</w:t>
      </w:r>
      <w:r w:rsidR="0062434B" w:rsidRPr="00016073">
        <w:t>ntipsychotics</w:t>
      </w:r>
      <w:r w:rsidR="00026658">
        <w:t xml:space="preserve">.  </w:t>
      </w:r>
    </w:p>
    <w:p w:rsidR="007F22FD" w:rsidRPr="000C016C" w:rsidRDefault="007F22FD" w:rsidP="007F22FD">
      <w:pPr>
        <w:pStyle w:val="EndnoteText"/>
        <w:spacing w:after="0"/>
        <w:rPr>
          <w:color w:val="0000FF"/>
        </w:rPr>
      </w:pPr>
      <w:r w:rsidRPr="000C016C">
        <w:rPr>
          <w:color w:val="0000FF"/>
        </w:rPr>
        <w:t>RTI Analysis of MDS 3.0 Data (quarter_6_7_complete\ntz47\ntz47_request.log)</w:t>
      </w:r>
    </w:p>
    <w:p w:rsidR="007F22FD" w:rsidRPr="000C016C" w:rsidRDefault="007F22FD" w:rsidP="007F22FD">
      <w:pPr>
        <w:pStyle w:val="EndnoteText"/>
        <w:spacing w:after="0"/>
        <w:rPr>
          <w:noProof/>
          <w:color w:val="0000FF"/>
        </w:rPr>
      </w:pPr>
      <w:r w:rsidRPr="000C016C">
        <w:rPr>
          <w:color w:val="0000FF"/>
        </w:rPr>
        <w:t>RTI Analysis of MDS 3.0 Data (quarter_6_7_complete\ntz46\ntz46_v1_request.log)</w:t>
      </w:r>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Data collection strategy</w:t>
      </w:r>
    </w:p>
    <w:p w:rsidR="007C276D" w:rsidRPr="00016073" w:rsidRDefault="007C276D" w:rsidP="00E81F46">
      <w:pPr>
        <w:pStyle w:val="Body2"/>
      </w:pPr>
      <w:r w:rsidRPr="00016073">
        <w:t>4d.1</w:t>
      </w:r>
      <w:r w:rsidR="00026658">
        <w:t xml:space="preserve">.  </w:t>
      </w:r>
      <w:r w:rsidRPr="00016073">
        <w:t xml:space="preserve">Describe what you have learned/modified as a result of testing and/or operational use of the measure regarding data collection, availability of data, missing data, timing and frequency of data collection, sampling, </w:t>
      </w:r>
      <w:r w:rsidRPr="00016073">
        <w:lastRenderedPageBreak/>
        <w:t>patient confidentiality, time and cost of data collection, other feasibility/implementation issues (</w:t>
      </w:r>
      <w:r w:rsidR="003B5EB5" w:rsidRPr="00016073">
        <w:t>for example</w:t>
      </w:r>
      <w:r w:rsidRPr="00016073">
        <w:t xml:space="preserve"> fees for use of proprietary measures)</w:t>
      </w:r>
    </w:p>
    <w:p w:rsidR="009E111F" w:rsidRPr="00016073" w:rsidRDefault="005D657F" w:rsidP="00396E7C">
      <w:pPr>
        <w:pStyle w:val="Body"/>
        <w:rPr>
          <w:i/>
        </w:rPr>
      </w:pPr>
      <w:r w:rsidRPr="00016073">
        <w:t>This measure will be based on MDS 3.0, which is already in operation and is mandatory for all Medicare/Medicaid nursing homes.</w:t>
      </w:r>
    </w:p>
    <w:p w:rsidR="007C276D" w:rsidRPr="00016073" w:rsidRDefault="007C276D" w:rsidP="005922A1">
      <w:pPr>
        <w:pStyle w:val="Heading2"/>
      </w:pPr>
      <w:r w:rsidRPr="00016073">
        <w:t>Related Measures</w:t>
      </w:r>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Harmonization</w:t>
      </w:r>
    </w:p>
    <w:p w:rsidR="007C276D" w:rsidRPr="00016073" w:rsidRDefault="007C276D" w:rsidP="00E81F46">
      <w:pPr>
        <w:pStyle w:val="Body2"/>
      </w:pPr>
      <w:r w:rsidRPr="00016073">
        <w:t>5a.1</w:t>
      </w:r>
      <w:r w:rsidR="00026658">
        <w:t xml:space="preserve">.  </w:t>
      </w:r>
      <w:r w:rsidRPr="00016073">
        <w:t>If this measure has EITHER the same measure focus OR the same target population as NQF-endorsed measure(s): Are the measure specifications completely harmonized? Is so, describe.</w:t>
      </w:r>
    </w:p>
    <w:p w:rsidR="00666463" w:rsidRPr="00016073" w:rsidRDefault="00666463" w:rsidP="00396E7C">
      <w:pPr>
        <w:pStyle w:val="Body"/>
      </w:pPr>
      <w:r w:rsidRPr="00016073">
        <w:t xml:space="preserve">There are no existing NQF-endorsed measure(s) or other measure(s) in current use that have the same measure focus and the same target population as this measure, but some similar measures with same focus are being </w:t>
      </w:r>
      <w:r w:rsidR="00A166E6" w:rsidRPr="00016073">
        <w:t xml:space="preserve">or have been </w:t>
      </w:r>
      <w:r w:rsidRPr="00016073">
        <w:t>developed for other settings</w:t>
      </w:r>
      <w:r w:rsidR="00026658">
        <w:t xml:space="preserve">.  </w:t>
      </w:r>
      <w:r w:rsidRPr="00016073">
        <w:t xml:space="preserve">(See similar measures for details) </w:t>
      </w:r>
    </w:p>
    <w:p w:rsidR="007C276D" w:rsidRPr="00016073" w:rsidRDefault="007C276D" w:rsidP="00E81F46">
      <w:pPr>
        <w:pStyle w:val="ListParagraph"/>
        <w:keepNext/>
        <w:keepLines/>
        <w:numPr>
          <w:ilvl w:val="0"/>
          <w:numId w:val="9"/>
        </w:numPr>
        <w:spacing w:before="200" w:after="0" w:line="276" w:lineRule="auto"/>
        <w:outlineLvl w:val="1"/>
        <w:rPr>
          <w:rFonts w:asciiTheme="majorHAnsi" w:hAnsiTheme="majorHAnsi"/>
          <w:b/>
          <w:i/>
          <w:szCs w:val="20"/>
        </w:rPr>
      </w:pPr>
      <w:r w:rsidRPr="00016073">
        <w:rPr>
          <w:rFonts w:asciiTheme="majorHAnsi" w:hAnsiTheme="majorHAnsi"/>
          <w:b/>
          <w:i/>
          <w:szCs w:val="20"/>
        </w:rPr>
        <w:t>Similar measures</w:t>
      </w:r>
    </w:p>
    <w:p w:rsidR="007C276D" w:rsidRPr="00016073" w:rsidRDefault="007C276D" w:rsidP="00E81F46">
      <w:pPr>
        <w:pStyle w:val="Body2"/>
      </w:pPr>
      <w:r w:rsidRPr="00016073">
        <w:t>5b.1</w:t>
      </w:r>
      <w:r w:rsidR="00026658">
        <w:t xml:space="preserve">.  </w:t>
      </w:r>
      <w:r w:rsidRPr="00016073">
        <w:t>If this measure has both the same measure focus and the same target population as NQF-endorsed measure(s) or other measures in current use, describe why this measure is superior to existing measures (</w:t>
      </w:r>
      <w:r w:rsidR="003B5EB5" w:rsidRPr="00016073">
        <w:t>for example</w:t>
      </w:r>
      <w:r w:rsidRPr="00016073">
        <w:t>, a more valid or efficient way to measure quality); OR, provide a rationale for the additive value of developing and endorsing an additional measure</w:t>
      </w:r>
      <w:r w:rsidR="00026658">
        <w:t xml:space="preserve">.  </w:t>
      </w:r>
      <w:r w:rsidRPr="00016073">
        <w:t>(Provide analyses when possible.)</w:t>
      </w:r>
    </w:p>
    <w:p w:rsidR="002D7B37" w:rsidRDefault="00415F31" w:rsidP="00E03E22">
      <w:pPr>
        <w:pStyle w:val="BodyText"/>
        <w:rPr>
          <w:color w:val="0000FF"/>
        </w:rPr>
      </w:pPr>
      <w:r w:rsidRPr="000C016C">
        <w:rPr>
          <w:color w:val="0000FF"/>
        </w:rPr>
        <w:t>There a</w:t>
      </w:r>
      <w:r w:rsidR="0056230A" w:rsidRPr="000C016C">
        <w:rPr>
          <w:color w:val="0000FF"/>
        </w:rPr>
        <w:t>re</w:t>
      </w:r>
      <w:r w:rsidRPr="000C016C">
        <w:rPr>
          <w:color w:val="0000FF"/>
        </w:rPr>
        <w:t xml:space="preserve"> three similar measures to highlight</w:t>
      </w:r>
      <w:r w:rsidR="00026658" w:rsidRPr="000C016C">
        <w:rPr>
          <w:color w:val="0000FF"/>
        </w:rPr>
        <w:t xml:space="preserve">.  </w:t>
      </w:r>
      <w:r w:rsidR="00A166E6" w:rsidRPr="000C016C">
        <w:rPr>
          <w:color w:val="0000FF"/>
        </w:rPr>
        <w:t>However, none of these measures address the same target population</w:t>
      </w:r>
      <w:r w:rsidR="00026658" w:rsidRPr="000C016C">
        <w:rPr>
          <w:color w:val="0000FF"/>
        </w:rPr>
        <w:t xml:space="preserve">.  </w:t>
      </w:r>
      <w:r w:rsidR="00A166E6" w:rsidRPr="000C016C">
        <w:rPr>
          <w:color w:val="0000FF"/>
        </w:rPr>
        <w:t>First, t</w:t>
      </w:r>
      <w:r w:rsidR="00E21A46" w:rsidRPr="000C016C">
        <w:rPr>
          <w:color w:val="0000FF"/>
        </w:rPr>
        <w:t>here is a pair of similar NQF-endorsed measures capturing patients discharged from the psychiatric inpatient setting on multiple antipsychotic measures</w:t>
      </w:r>
      <w:r w:rsidR="00026658" w:rsidRPr="000C016C">
        <w:rPr>
          <w:color w:val="0000FF"/>
        </w:rPr>
        <w:t xml:space="preserve">.  </w:t>
      </w:r>
      <w:r w:rsidR="00E21A46" w:rsidRPr="000C016C">
        <w:rPr>
          <w:color w:val="0000FF"/>
        </w:rPr>
        <w:t>Th</w:t>
      </w:r>
      <w:r w:rsidR="00502498" w:rsidRPr="000C016C">
        <w:rPr>
          <w:color w:val="0000FF"/>
        </w:rPr>
        <w:t>ese two measures were d</w:t>
      </w:r>
      <w:r w:rsidR="00E21A46" w:rsidRPr="000C016C">
        <w:rPr>
          <w:color w:val="0000FF"/>
        </w:rPr>
        <w:t>eveloped by The Joint Commission</w:t>
      </w:r>
      <w:r w:rsidR="00AD4AB7" w:rsidRPr="000C016C">
        <w:rPr>
          <w:color w:val="0000FF"/>
        </w:rPr>
        <w:t xml:space="preserve"> and </w:t>
      </w:r>
      <w:r w:rsidR="00502498" w:rsidRPr="000C016C">
        <w:rPr>
          <w:color w:val="0000FF"/>
        </w:rPr>
        <w:t xml:space="preserve">are: </w:t>
      </w:r>
      <w:r w:rsidR="00504ABF" w:rsidRPr="000C016C">
        <w:rPr>
          <w:color w:val="0000FF"/>
        </w:rPr>
        <w:t>HBIPS-4: Patients discharged on multiple antips</w:t>
      </w:r>
      <w:r w:rsidR="00AD4AB7" w:rsidRPr="000C016C">
        <w:rPr>
          <w:color w:val="0000FF"/>
        </w:rPr>
        <w:t xml:space="preserve">ychotic medications and </w:t>
      </w:r>
      <w:r w:rsidR="00504ABF" w:rsidRPr="000C016C">
        <w:rPr>
          <w:color w:val="0000FF"/>
        </w:rPr>
        <w:t xml:space="preserve">HBIPS-5 Patients discharged on multiple antipsychotic medications </w:t>
      </w:r>
      <w:r w:rsidR="00AD4AB7" w:rsidRPr="000C016C">
        <w:rPr>
          <w:color w:val="0000FF"/>
        </w:rPr>
        <w:t>with appropriate justification</w:t>
      </w:r>
      <w:r w:rsidR="00026658" w:rsidRPr="000C016C">
        <w:rPr>
          <w:color w:val="0000FF"/>
        </w:rPr>
        <w:t xml:space="preserve">.  </w:t>
      </w:r>
      <w:r w:rsidRPr="000C016C">
        <w:rPr>
          <w:color w:val="0000FF"/>
        </w:rPr>
        <w:t xml:space="preserve">The </w:t>
      </w:r>
      <w:r w:rsidR="00A166E6" w:rsidRPr="000C016C">
        <w:rPr>
          <w:color w:val="0000FF"/>
        </w:rPr>
        <w:t xml:space="preserve">other </w:t>
      </w:r>
      <w:r w:rsidR="00502498" w:rsidRPr="000C016C">
        <w:rPr>
          <w:color w:val="0000FF"/>
        </w:rPr>
        <w:t xml:space="preserve">related measure </w:t>
      </w:r>
      <w:r w:rsidR="00CA529B" w:rsidRPr="000C016C">
        <w:rPr>
          <w:color w:val="0000FF"/>
        </w:rPr>
        <w:t>is in development b</w:t>
      </w:r>
      <w:r w:rsidR="00502498" w:rsidRPr="000C016C">
        <w:rPr>
          <w:color w:val="0000FF"/>
        </w:rPr>
        <w:t>y the</w:t>
      </w:r>
      <w:r w:rsidR="00A166E6" w:rsidRPr="000C016C">
        <w:rPr>
          <w:color w:val="0000FF"/>
        </w:rPr>
        <w:t xml:space="preserve"> Pharmacy Quality Alliance (PQA) and is referred to as “Antipsychotic Use in Persons with Dementia</w:t>
      </w:r>
      <w:r w:rsidR="00144473" w:rsidRPr="000C016C">
        <w:rPr>
          <w:color w:val="0000FF"/>
        </w:rPr>
        <w:t>” (The percentage of individuals 65 years of age and older with dementia who are receiving an antipsychotic medication without evidence of a psychotic disorder or related condition)</w:t>
      </w:r>
      <w:r w:rsidR="00026658" w:rsidRPr="000C016C">
        <w:rPr>
          <w:color w:val="0000FF"/>
        </w:rPr>
        <w:t xml:space="preserve">.  </w:t>
      </w:r>
      <w:r w:rsidR="00A166E6" w:rsidRPr="000C016C">
        <w:rPr>
          <w:color w:val="0000FF"/>
        </w:rPr>
        <w:t xml:space="preserve">The PQA </w:t>
      </w:r>
      <w:r w:rsidR="00502498" w:rsidRPr="000C016C">
        <w:rPr>
          <w:color w:val="0000FF"/>
        </w:rPr>
        <w:t xml:space="preserve">measure differs </w:t>
      </w:r>
      <w:r w:rsidR="00A166E6" w:rsidRPr="000C016C">
        <w:rPr>
          <w:color w:val="0000FF"/>
        </w:rPr>
        <w:t xml:space="preserve">from the proposed measure </w:t>
      </w:r>
      <w:r w:rsidR="00502498" w:rsidRPr="000C016C">
        <w:rPr>
          <w:color w:val="0000FF"/>
        </w:rPr>
        <w:t xml:space="preserve">in </w:t>
      </w:r>
      <w:r w:rsidR="00A166E6" w:rsidRPr="000C016C">
        <w:rPr>
          <w:color w:val="0000FF"/>
        </w:rPr>
        <w:t>that</w:t>
      </w:r>
      <w:r w:rsidR="0056230A" w:rsidRPr="000C016C">
        <w:rPr>
          <w:color w:val="0000FF"/>
        </w:rPr>
        <w:t xml:space="preserve"> a)</w:t>
      </w:r>
      <w:r w:rsidR="00A166E6" w:rsidRPr="000C016C">
        <w:rPr>
          <w:color w:val="0000FF"/>
        </w:rPr>
        <w:t xml:space="preserve"> it is specific to patients with Alzheimer’s disease</w:t>
      </w:r>
      <w:r w:rsidR="0056230A" w:rsidRPr="000C016C">
        <w:rPr>
          <w:color w:val="0000FF"/>
        </w:rPr>
        <w:t xml:space="preserve"> and</w:t>
      </w:r>
      <w:r w:rsidR="00B812CE" w:rsidRPr="000C016C">
        <w:rPr>
          <w:color w:val="0000FF"/>
        </w:rPr>
        <w:t xml:space="preserve"> </w:t>
      </w:r>
      <w:r w:rsidR="00A166E6" w:rsidRPr="000C016C">
        <w:rPr>
          <w:color w:val="0000FF"/>
        </w:rPr>
        <w:t>not specific to the nursing home population</w:t>
      </w:r>
      <w:r w:rsidR="0056230A" w:rsidRPr="000C016C">
        <w:rPr>
          <w:color w:val="0000FF"/>
        </w:rPr>
        <w:t>; b) the level of analysis is health plan instead of facility</w:t>
      </w:r>
      <w:r w:rsidR="00A166E6" w:rsidRPr="000C016C">
        <w:rPr>
          <w:color w:val="0000FF"/>
        </w:rPr>
        <w:t xml:space="preserve"> and</w:t>
      </w:r>
      <w:r w:rsidR="0056230A" w:rsidRPr="000C016C">
        <w:rPr>
          <w:color w:val="0000FF"/>
        </w:rPr>
        <w:t xml:space="preserve"> c) it</w:t>
      </w:r>
      <w:r w:rsidR="00A166E6" w:rsidRPr="000C016C">
        <w:rPr>
          <w:color w:val="0000FF"/>
        </w:rPr>
        <w:t xml:space="preserve"> is based on claims instead of MDS assessment data</w:t>
      </w:r>
      <w:r w:rsidR="00026658" w:rsidRPr="000C016C">
        <w:rPr>
          <w:color w:val="0000FF"/>
        </w:rPr>
        <w:t xml:space="preserve">.  </w:t>
      </w:r>
    </w:p>
    <w:p w:rsidR="00396E7C" w:rsidRPr="000C016C" w:rsidRDefault="00984BDE" w:rsidP="00E03E22">
      <w:pPr>
        <w:pStyle w:val="BodyText"/>
        <w:rPr>
          <w:color w:val="0000FF"/>
        </w:rPr>
      </w:pPr>
      <w:r w:rsidRPr="00984BDE">
        <w:rPr>
          <w:color w:val="0000FF"/>
        </w:rPr>
        <w:t>In addition to these measures, in 2013 CMS announced the development of a measure related to AP use for long-term nursing home residents (whose length of stay is greater than 90 days) enrolled in Part D. This new measure is referred to as DMD13-Rate of Chronic Use of Atypical Antipsychotics by Elderly Beneficiaries in Nursing Homes, and is focu</w:t>
      </w:r>
      <w:r>
        <w:rPr>
          <w:color w:val="0000FF"/>
        </w:rPr>
        <w:t>sed on atypical antipsychotics.</w:t>
      </w:r>
    </w:p>
    <w:p w:rsidR="00E03E22" w:rsidRPr="00016073" w:rsidRDefault="00E03E22" w:rsidP="00E03E22">
      <w:pPr>
        <w:pStyle w:val="ListParagraph"/>
        <w:keepNext/>
        <w:keepLines/>
        <w:numPr>
          <w:ilvl w:val="0"/>
          <w:numId w:val="10"/>
        </w:numPr>
        <w:spacing w:after="0" w:line="276" w:lineRule="auto"/>
        <w:outlineLvl w:val="2"/>
        <w:rPr>
          <w:rFonts w:asciiTheme="minorHAnsi" w:eastAsiaTheme="majorEastAsia" w:hAnsiTheme="minorHAnsi" w:cstheme="minorHAnsi"/>
          <w:b/>
          <w:bCs/>
          <w:szCs w:val="20"/>
        </w:rPr>
      </w:pPr>
      <w:r w:rsidRPr="00016073">
        <w:rPr>
          <w:rFonts w:asciiTheme="minorHAnsi" w:eastAsiaTheme="majorEastAsia" w:hAnsiTheme="minorHAnsi" w:cstheme="minorHAnsi"/>
          <w:b/>
          <w:bCs/>
          <w:szCs w:val="20"/>
        </w:rPr>
        <w:t>Citations</w:t>
      </w:r>
    </w:p>
    <w:p w:rsidR="00B20CA5" w:rsidRPr="000C016C" w:rsidRDefault="00B20CA5" w:rsidP="00396E7C">
      <w:pPr>
        <w:pStyle w:val="BodyText"/>
        <w:rPr>
          <w:rFonts w:cs="Calibri"/>
          <w:noProof/>
          <w:color w:val="0000FF"/>
        </w:rPr>
      </w:pPr>
      <w:r w:rsidRPr="000C016C">
        <w:rPr>
          <w:rFonts w:cs="Calibri"/>
          <w:noProof/>
          <w:color w:val="0000FF"/>
        </w:rPr>
        <w:t xml:space="preserve">Brega, A., Hittle, D., Goodrich, G., et al.: </w:t>
      </w:r>
      <w:r w:rsidR="00467761" w:rsidRPr="000C016C">
        <w:rPr>
          <w:rFonts w:cs="Calibri"/>
          <w:noProof/>
          <w:color w:val="0000FF"/>
          <w:u w:val="single"/>
        </w:rPr>
        <w:t>Empirical review of publicly reported nursing home quality measures</w:t>
      </w:r>
      <w:r w:rsidR="00026658" w:rsidRPr="000C016C">
        <w:rPr>
          <w:rFonts w:cs="Calibri"/>
          <w:noProof/>
          <w:color w:val="0000FF"/>
        </w:rPr>
        <w:t xml:space="preserve">.  </w:t>
      </w:r>
      <w:r w:rsidRPr="000C016C">
        <w:rPr>
          <w:rFonts w:cs="Calibri"/>
          <w:noProof/>
          <w:color w:val="0000FF"/>
        </w:rPr>
        <w:t>Denver: Division of Health Care Policy and Research University of Colorado at Denver</w:t>
      </w:r>
      <w:r w:rsidR="00026658" w:rsidRPr="000C016C">
        <w:rPr>
          <w:rFonts w:cs="Calibri"/>
          <w:noProof/>
          <w:color w:val="0000FF"/>
        </w:rPr>
        <w:t xml:space="preserve">.  </w:t>
      </w:r>
      <w:r w:rsidRPr="000C016C">
        <w:rPr>
          <w:rFonts w:cs="Calibri"/>
          <w:noProof/>
          <w:color w:val="0000FF"/>
        </w:rPr>
        <w:t>Abt Associates, Inc., 2007.</w:t>
      </w:r>
    </w:p>
    <w:p w:rsidR="00B20CA5" w:rsidRPr="000C016C" w:rsidRDefault="00B20CA5" w:rsidP="005922A1">
      <w:pPr>
        <w:pStyle w:val="EndnoteText"/>
        <w:rPr>
          <w:noProof/>
          <w:color w:val="0000FF"/>
        </w:rPr>
      </w:pPr>
      <w:r w:rsidRPr="000C016C">
        <w:rPr>
          <w:noProof/>
          <w:color w:val="0000FF"/>
        </w:rPr>
        <w:t>Briesacher, B.A., Limcangco, M.R., Simoni-Wastila, L., et al.: The quality of antipsychotic drug prescribing in nursing homes</w:t>
      </w:r>
      <w:r w:rsidR="00026658" w:rsidRPr="000C016C">
        <w:rPr>
          <w:noProof/>
          <w:color w:val="0000FF"/>
        </w:rPr>
        <w:t xml:space="preserve">.  </w:t>
      </w:r>
      <w:r w:rsidRPr="000C016C">
        <w:rPr>
          <w:noProof/>
          <w:color w:val="0000FF"/>
          <w:u w:val="single"/>
        </w:rPr>
        <w:t>Arch Intern Med</w:t>
      </w:r>
      <w:r w:rsidRPr="000C016C">
        <w:rPr>
          <w:noProof/>
          <w:color w:val="0000FF"/>
        </w:rPr>
        <w:t xml:space="preserve"> 165(11):1280-1285, 2005.</w:t>
      </w:r>
    </w:p>
    <w:p w:rsidR="00B20CA5" w:rsidRPr="000C016C" w:rsidRDefault="00B20CA5" w:rsidP="005922A1">
      <w:pPr>
        <w:pStyle w:val="EndnoteText"/>
        <w:rPr>
          <w:noProof/>
          <w:color w:val="0000FF"/>
        </w:rPr>
      </w:pPr>
      <w:r w:rsidRPr="000C016C">
        <w:rPr>
          <w:noProof/>
          <w:color w:val="0000FF"/>
        </w:rPr>
        <w:t>Chen, Y., Briesacher, B.A., Field, T.S., et al.: Unexplained variation across US nursing homes in antipsychotic prescribing rates</w:t>
      </w:r>
      <w:r w:rsidR="00026658" w:rsidRPr="000C016C">
        <w:rPr>
          <w:noProof/>
          <w:color w:val="0000FF"/>
        </w:rPr>
        <w:t xml:space="preserve">.  </w:t>
      </w:r>
      <w:r w:rsidRPr="000C016C">
        <w:rPr>
          <w:noProof/>
          <w:color w:val="0000FF"/>
          <w:u w:val="single"/>
        </w:rPr>
        <w:t>Arch Intern Med</w:t>
      </w:r>
      <w:r w:rsidRPr="000C016C">
        <w:rPr>
          <w:noProof/>
          <w:color w:val="0000FF"/>
        </w:rPr>
        <w:t xml:space="preserve"> 170(1):89-95, 2010.</w:t>
      </w:r>
    </w:p>
    <w:p w:rsidR="00B20CA5" w:rsidRPr="000C016C" w:rsidRDefault="00B20CA5" w:rsidP="005922A1">
      <w:pPr>
        <w:pStyle w:val="EndnoteText"/>
        <w:rPr>
          <w:noProof/>
          <w:color w:val="0000FF"/>
        </w:rPr>
      </w:pPr>
      <w:r w:rsidRPr="000C016C">
        <w:rPr>
          <w:noProof/>
          <w:color w:val="0000FF"/>
        </w:rPr>
        <w:t>Crystal, S., Olfson, M., Huang, C., et al.: Broadened use of atypical antipsychotics: safety, effectiveness, and policy challenges</w:t>
      </w:r>
      <w:r w:rsidR="00026658" w:rsidRPr="000C016C">
        <w:rPr>
          <w:noProof/>
          <w:color w:val="0000FF"/>
        </w:rPr>
        <w:t xml:space="preserve">.  </w:t>
      </w:r>
      <w:r w:rsidRPr="000C016C">
        <w:rPr>
          <w:noProof/>
          <w:color w:val="0000FF"/>
          <w:u w:val="single"/>
        </w:rPr>
        <w:t>Health Aff (Millwood)</w:t>
      </w:r>
      <w:r w:rsidRPr="000C016C">
        <w:rPr>
          <w:noProof/>
          <w:color w:val="0000FF"/>
        </w:rPr>
        <w:t xml:space="preserve"> 28(5):w770-781, 2009.</w:t>
      </w:r>
    </w:p>
    <w:p w:rsidR="00B20CA5" w:rsidRPr="000C016C" w:rsidRDefault="00B20CA5" w:rsidP="005922A1">
      <w:pPr>
        <w:pStyle w:val="EndnoteText"/>
        <w:rPr>
          <w:noProof/>
          <w:color w:val="0000FF"/>
        </w:rPr>
      </w:pPr>
      <w:r w:rsidRPr="000C016C">
        <w:rPr>
          <w:noProof/>
          <w:color w:val="0000FF"/>
        </w:rPr>
        <w:lastRenderedPageBreak/>
        <w:t>Devanand, D.P., Mintzer, J., Schultz, S.K., et al.: Relapse risk after discontinuation of risperidone in Alzheimer's disease</w:t>
      </w:r>
      <w:r w:rsidR="00026658" w:rsidRPr="000C016C">
        <w:rPr>
          <w:noProof/>
          <w:color w:val="0000FF"/>
        </w:rPr>
        <w:t xml:space="preserve">.  </w:t>
      </w:r>
      <w:r w:rsidRPr="000C016C">
        <w:rPr>
          <w:noProof/>
          <w:color w:val="0000FF"/>
          <w:u w:val="single"/>
        </w:rPr>
        <w:t>N Engl J Med</w:t>
      </w:r>
      <w:r w:rsidRPr="000C016C">
        <w:rPr>
          <w:noProof/>
          <w:color w:val="0000FF"/>
        </w:rPr>
        <w:t xml:space="preserve"> 367(16):1497-1507.</w:t>
      </w:r>
    </w:p>
    <w:p w:rsidR="005922A1" w:rsidRPr="000C016C" w:rsidRDefault="005922A1" w:rsidP="005922A1">
      <w:pPr>
        <w:pStyle w:val="EndnoteText"/>
        <w:rPr>
          <w:noProof/>
          <w:color w:val="0000FF"/>
        </w:rPr>
      </w:pPr>
      <w:r w:rsidRPr="000C016C">
        <w:rPr>
          <w:noProof/>
          <w:color w:val="0000FF"/>
        </w:rPr>
        <w:t xml:space="preserve">O'Neil, M.E., Freeman, M., Christensen, V., </w:t>
      </w:r>
      <w:r w:rsidR="00155E08" w:rsidRPr="000C016C">
        <w:rPr>
          <w:noProof/>
          <w:color w:val="0000FF"/>
        </w:rPr>
        <w:t xml:space="preserve">et al. </w:t>
      </w:r>
      <w:r w:rsidRPr="000C016C">
        <w:rPr>
          <w:noProof/>
          <w:color w:val="0000FF"/>
        </w:rPr>
        <w:t>In A Systematic Evidence Review of Non-pharmacological Interventions for Behavioral Symptoms of Dementia</w:t>
      </w:r>
      <w:r w:rsidR="00026658" w:rsidRPr="000C016C">
        <w:rPr>
          <w:noProof/>
          <w:color w:val="0000FF"/>
        </w:rPr>
        <w:t xml:space="preserve">.  </w:t>
      </w:r>
      <w:r w:rsidRPr="000C016C">
        <w:rPr>
          <w:noProof/>
          <w:color w:val="0000FF"/>
        </w:rPr>
        <w:t>Washington (DC)</w:t>
      </w:r>
      <w:r w:rsidR="00026658" w:rsidRPr="000C016C">
        <w:rPr>
          <w:noProof/>
          <w:color w:val="0000FF"/>
        </w:rPr>
        <w:t xml:space="preserve">.  </w:t>
      </w:r>
      <w:r w:rsidRPr="000C016C">
        <w:rPr>
          <w:noProof/>
          <w:color w:val="0000FF"/>
        </w:rPr>
        <w:t>2011.</w:t>
      </w:r>
    </w:p>
    <w:p w:rsidR="00B20CA5" w:rsidRPr="0003240D" w:rsidRDefault="00B20CA5" w:rsidP="005922A1">
      <w:pPr>
        <w:pStyle w:val="EndnoteText"/>
        <w:rPr>
          <w:noProof/>
        </w:rPr>
      </w:pPr>
      <w:r w:rsidRPr="000C016C">
        <w:rPr>
          <w:noProof/>
          <w:color w:val="0000FF"/>
        </w:rPr>
        <w:t>Rosack, J.: FDA orders new warning on atypical antipsychotics</w:t>
      </w:r>
      <w:r w:rsidR="00026658" w:rsidRPr="000C016C">
        <w:rPr>
          <w:noProof/>
          <w:color w:val="0000FF"/>
        </w:rPr>
        <w:t xml:space="preserve">.  </w:t>
      </w:r>
      <w:r w:rsidRPr="000C016C">
        <w:rPr>
          <w:noProof/>
          <w:color w:val="0000FF"/>
          <w:u w:val="single"/>
        </w:rPr>
        <w:t xml:space="preserve">Psychiatr News </w:t>
      </w:r>
      <w:r w:rsidRPr="000C016C">
        <w:rPr>
          <w:noProof/>
          <w:color w:val="0000FF"/>
        </w:rPr>
        <w:t>40(9):1-50, 2005.</w:t>
      </w:r>
    </w:p>
    <w:sectPr w:rsidR="00B20CA5" w:rsidRPr="0003240D" w:rsidSect="00567CA3">
      <w:headerReference w:type="default" r:id="rId25"/>
      <w:footerReference w:type="default" r:id="rId26"/>
      <w:pgSz w:w="12240" w:h="15840"/>
      <w:pgMar w:top="1440" w:right="1080" w:bottom="1440" w:left="1080" w:header="720" w:footer="144" w:gutter="0"/>
      <w:pgBorders w:offsetFrom="page">
        <w:top w:val="single" w:sz="4" w:space="24" w:color="002060"/>
        <w:left w:val="single" w:sz="4" w:space="24" w:color="002060"/>
        <w:bottom w:val="single" w:sz="4" w:space="24" w:color="002060"/>
        <w:right w:val="single" w:sz="4" w:space="24" w:color="002060"/>
      </w:pgBorders>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333" w:rsidRDefault="00760333" w:rsidP="008D499B">
      <w:pPr>
        <w:spacing w:after="0"/>
      </w:pPr>
      <w:r>
        <w:separator/>
      </w:r>
    </w:p>
  </w:endnote>
  <w:endnote w:type="continuationSeparator" w:id="0">
    <w:p w:rsidR="00760333" w:rsidRDefault="00760333" w:rsidP="008D499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33" w:rsidRPr="00631598" w:rsidRDefault="00760333" w:rsidP="006E7F73">
    <w:pPr>
      <w:pStyle w:val="Footer"/>
      <w:tabs>
        <w:tab w:val="clear" w:pos="9360"/>
        <w:tab w:val="right" w:pos="10080"/>
      </w:tabs>
      <w:spacing w:before="0"/>
      <w:rPr>
        <w:rFonts w:ascii="Helvetica" w:hAnsi="Helvetica"/>
        <w:bCs/>
        <w:i/>
        <w:sz w:val="14"/>
      </w:rPr>
    </w:pPr>
    <w:r w:rsidRPr="00631598">
      <w:rPr>
        <w:rFonts w:ascii="Helvetica" w:hAnsi="Helvetica"/>
        <w:i/>
        <w:sz w:val="14"/>
      </w:rPr>
      <w:t xml:space="preserve">A Blueprint for the </w:t>
    </w:r>
    <w:smartTag w:uri="urn:schemas-microsoft-com:office:smarttags" w:element="stockticker">
      <w:r w:rsidRPr="00631598">
        <w:rPr>
          <w:rFonts w:ascii="Helvetica" w:hAnsi="Helvetica"/>
          <w:i/>
          <w:sz w:val="14"/>
        </w:rPr>
        <w:t>CMS</w:t>
      </w:r>
    </w:smartTag>
    <w:r w:rsidRPr="00631598">
      <w:rPr>
        <w:rFonts w:ascii="Helvetica" w:hAnsi="Helvetica"/>
        <w:i/>
        <w:sz w:val="14"/>
      </w:rPr>
      <w:t xml:space="preserve"> Measures Management System, </w:t>
    </w:r>
    <w:r>
      <w:rPr>
        <w:rFonts w:ascii="Helvetica" w:hAnsi="Helvetica"/>
        <w:i/>
        <w:sz w:val="14"/>
      </w:rPr>
      <w:t>Version 9</w:t>
    </w:r>
    <w:r>
      <w:rPr>
        <w:rFonts w:ascii="Helvetica" w:hAnsi="Helvetica"/>
        <w:i/>
        <w:sz w:val="14"/>
      </w:rPr>
      <w:tab/>
    </w:r>
    <w:r w:rsidRPr="00631598">
      <w:rPr>
        <w:rFonts w:ascii="Helvetica" w:hAnsi="Helvetica"/>
        <w:i/>
        <w:sz w:val="14"/>
      </w:rPr>
      <w:t xml:space="preserve"> </w:t>
    </w:r>
    <w:r w:rsidRPr="00631598">
      <w:rPr>
        <w:rFonts w:ascii="Helvetica" w:hAnsi="Helvetica"/>
        <w:i/>
        <w:sz w:val="14"/>
      </w:rPr>
      <w:tab/>
    </w:r>
    <w:r w:rsidRPr="00631598">
      <w:rPr>
        <w:rFonts w:ascii="Helvetica" w:hAnsi="Helvetica"/>
        <w:bCs/>
        <w:i/>
        <w:sz w:val="14"/>
      </w:rPr>
      <w:t xml:space="preserve">Page </w:t>
    </w:r>
    <w:r w:rsidR="00710CCC" w:rsidRPr="00631598">
      <w:rPr>
        <w:rFonts w:ascii="Helvetica" w:hAnsi="Helvetica"/>
        <w:bCs/>
        <w:i/>
        <w:sz w:val="14"/>
      </w:rPr>
      <w:fldChar w:fldCharType="begin"/>
    </w:r>
    <w:r w:rsidRPr="00631598">
      <w:rPr>
        <w:rFonts w:ascii="Helvetica" w:hAnsi="Helvetica"/>
        <w:bCs/>
        <w:i/>
        <w:sz w:val="14"/>
      </w:rPr>
      <w:instrText xml:space="preserve"> PAGE </w:instrText>
    </w:r>
    <w:r w:rsidR="00710CCC" w:rsidRPr="00631598">
      <w:rPr>
        <w:rFonts w:ascii="Helvetica" w:hAnsi="Helvetica"/>
        <w:bCs/>
        <w:i/>
        <w:sz w:val="14"/>
      </w:rPr>
      <w:fldChar w:fldCharType="separate"/>
    </w:r>
    <w:r w:rsidR="000F2BFA">
      <w:rPr>
        <w:rFonts w:ascii="Helvetica" w:hAnsi="Helvetica"/>
        <w:bCs/>
        <w:i/>
        <w:noProof/>
        <w:sz w:val="14"/>
      </w:rPr>
      <w:t>24</w:t>
    </w:r>
    <w:r w:rsidR="00710CCC" w:rsidRPr="00631598">
      <w:rPr>
        <w:rFonts w:ascii="Helvetica" w:hAnsi="Helvetica"/>
        <w:bCs/>
        <w:i/>
        <w:sz w:val="14"/>
      </w:rPr>
      <w:fldChar w:fldCharType="end"/>
    </w:r>
  </w:p>
  <w:p w:rsidR="00760333" w:rsidRPr="00631598" w:rsidRDefault="00760333" w:rsidP="006E7F73">
    <w:pPr>
      <w:pStyle w:val="Footer"/>
      <w:tabs>
        <w:tab w:val="clear" w:pos="9360"/>
        <w:tab w:val="right" w:pos="10080"/>
      </w:tabs>
      <w:spacing w:before="0"/>
      <w:rPr>
        <w:sz w:val="16"/>
        <w:szCs w:val="16"/>
      </w:rPr>
    </w:pPr>
    <w:r w:rsidRPr="00631598">
      <w:rPr>
        <w:rFonts w:ascii="Helvetica" w:hAnsi="Helvetica"/>
        <w:i/>
        <w:sz w:val="14"/>
      </w:rPr>
      <w:t>Health Services Advisory Group, Inc.</w:t>
    </w:r>
  </w:p>
  <w:p w:rsidR="00760333" w:rsidRDefault="0076033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333" w:rsidRDefault="00760333" w:rsidP="008D499B">
      <w:pPr>
        <w:spacing w:after="0"/>
      </w:pPr>
      <w:r>
        <w:separator/>
      </w:r>
    </w:p>
  </w:footnote>
  <w:footnote w:type="continuationSeparator" w:id="0">
    <w:p w:rsidR="00760333" w:rsidRDefault="00760333" w:rsidP="008D499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38" w:type="dxa"/>
      <w:jc w:val="center"/>
      <w:tblLayout w:type="fixed"/>
      <w:tblCellMar>
        <w:left w:w="115" w:type="dxa"/>
        <w:right w:w="115" w:type="dxa"/>
      </w:tblCellMar>
      <w:tblLook w:val="0000"/>
    </w:tblPr>
    <w:tblGrid>
      <w:gridCol w:w="2762"/>
      <w:gridCol w:w="7676"/>
    </w:tblGrid>
    <w:tr w:rsidR="00760333" w:rsidRPr="008D499B" w:rsidTr="00A236D2">
      <w:trPr>
        <w:cantSplit/>
        <w:trHeight w:val="720"/>
        <w:jc w:val="center"/>
      </w:trPr>
      <w:tc>
        <w:tcPr>
          <w:tcW w:w="2762" w:type="dxa"/>
          <w:tcBorders>
            <w:bottom w:val="nil"/>
          </w:tcBorders>
        </w:tcPr>
        <w:p w:rsidR="00760333" w:rsidRPr="00631598" w:rsidRDefault="00760333" w:rsidP="00A236D2">
          <w:pPr>
            <w:pStyle w:val="Default"/>
            <w:rPr>
              <w:sz w:val="22"/>
              <w:szCs w:val="22"/>
            </w:rPr>
          </w:pPr>
          <w:r w:rsidRPr="00631598">
            <w:rPr>
              <w:rFonts w:cs="Arial"/>
              <w:b/>
              <w:noProof/>
              <w:sz w:val="22"/>
              <w:szCs w:val="22"/>
            </w:rPr>
            <w:drawing>
              <wp:inline distT="0" distB="0" distL="0" distR="0">
                <wp:extent cx="1600200" cy="619125"/>
                <wp:effectExtent l="0" t="0" r="0" b="9525"/>
                <wp:docPr id="1" name="Picture 1" descr="cms_log_blk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s_log_blk_ib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619125"/>
                        </a:xfrm>
                        <a:prstGeom prst="rect">
                          <a:avLst/>
                        </a:prstGeom>
                        <a:noFill/>
                        <a:ln>
                          <a:noFill/>
                        </a:ln>
                      </pic:spPr>
                    </pic:pic>
                  </a:graphicData>
                </a:graphic>
              </wp:inline>
            </w:drawing>
          </w:r>
        </w:p>
      </w:tc>
      <w:tc>
        <w:tcPr>
          <w:tcW w:w="7676" w:type="dxa"/>
          <w:tcBorders>
            <w:bottom w:val="nil"/>
          </w:tcBorders>
        </w:tcPr>
        <w:p w:rsidR="00760333" w:rsidRPr="00631598" w:rsidRDefault="00760333" w:rsidP="00863079">
          <w:pPr>
            <w:pStyle w:val="Header"/>
            <w:jc w:val="right"/>
            <w:rPr>
              <w:rFonts w:ascii="Helvetica" w:hAnsi="Helvetica" w:cs="Arial"/>
              <w:i/>
            </w:rPr>
          </w:pPr>
          <w:r w:rsidRPr="00631598">
            <w:rPr>
              <w:rFonts w:ascii="Helvetica" w:hAnsi="Helvetica" w:cs="Arial"/>
              <w:i/>
              <w:sz w:val="22"/>
            </w:rPr>
            <w:t>Measure Development</w:t>
          </w:r>
        </w:p>
      </w:tc>
    </w:tr>
  </w:tbl>
  <w:p w:rsidR="00760333" w:rsidRDefault="00760333" w:rsidP="007A047B">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D001D"/>
    <w:multiLevelType w:val="hybridMultilevel"/>
    <w:tmpl w:val="73FC2A2C"/>
    <w:lvl w:ilvl="0" w:tplc="440AB428">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C72957"/>
    <w:multiLevelType w:val="hybridMultilevel"/>
    <w:tmpl w:val="B9E41984"/>
    <w:lvl w:ilvl="0" w:tplc="2A460ABC">
      <w:start w:val="1"/>
      <w:numFmt w:val="bullet"/>
      <w:lvlText w:val=""/>
      <w:lvlJc w:val="left"/>
      <w:pPr>
        <w:ind w:left="720" w:hanging="360"/>
      </w:pPr>
      <w:rPr>
        <w:rFonts w:ascii="Wingdings" w:hAnsi="Wingding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D161E5"/>
    <w:multiLevelType w:val="hybridMultilevel"/>
    <w:tmpl w:val="A0D6DDCC"/>
    <w:lvl w:ilvl="0" w:tplc="5DE241C2">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7334FF"/>
    <w:multiLevelType w:val="hybridMultilevel"/>
    <w:tmpl w:val="0036562C"/>
    <w:lvl w:ilvl="0" w:tplc="5FAA85C4">
      <w:start w:val="1"/>
      <w:numFmt w:val="bullet"/>
      <w:pStyle w:val="ListParagraph2"/>
      <w:lvlText w:val=""/>
      <w:lvlJc w:val="left"/>
      <w:pPr>
        <w:ind w:left="1440" w:hanging="360"/>
      </w:pPr>
      <w:rPr>
        <w:rFonts w:ascii="Wingdings" w:hAnsi="Wingdings" w:hint="default"/>
        <w:sz w:val="14"/>
        <w:szCs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8F6A78"/>
    <w:multiLevelType w:val="hybridMultilevel"/>
    <w:tmpl w:val="1A581D42"/>
    <w:lvl w:ilvl="0" w:tplc="B88A064E">
      <w:start w:val="1"/>
      <w:numFmt w:val="lowerLetter"/>
      <w:pStyle w:val="List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1305CE"/>
    <w:multiLevelType w:val="hybridMultilevel"/>
    <w:tmpl w:val="51547BFA"/>
    <w:lvl w:ilvl="0" w:tplc="BB24C312">
      <w:start w:val="1"/>
      <w:numFmt w:val="bullet"/>
      <w:pStyle w:val="Bullet1"/>
      <w:lvlText w:val="•"/>
      <w:lvlJc w:val="left"/>
      <w:pPr>
        <w:ind w:left="720" w:hanging="360"/>
      </w:pPr>
      <w:rPr>
        <w:rFonts w:ascii="Arial" w:hAnsi="Arial" w:hint="default"/>
        <w:sz w:val="24"/>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887D7A"/>
    <w:multiLevelType w:val="multilevel"/>
    <w:tmpl w:val="D0CCB824"/>
    <w:lvl w:ilvl="0">
      <w:start w:val="3"/>
      <w:numFmt w:val="decimal"/>
      <w:pStyle w:val="Heading1"/>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2"/>
      <w:numFmt w:val="decimal"/>
      <w:isLgl/>
      <w:lvlText w:val="%1.%2."/>
      <w:lvlJc w:val="left"/>
      <w:pPr>
        <w:ind w:left="795" w:hanging="720"/>
      </w:pPr>
      <w:rPr>
        <w:rFonts w:hint="default"/>
      </w:rPr>
    </w:lvl>
    <w:lvl w:ilvl="2">
      <w:start w:val="1"/>
      <w:numFmt w:val="decimal"/>
      <w:isLgl/>
      <w:lvlText w:val="%1.%2.%3."/>
      <w:lvlJc w:val="left"/>
      <w:pPr>
        <w:ind w:left="1230" w:hanging="108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740" w:hanging="1440"/>
      </w:pPr>
      <w:rPr>
        <w:rFonts w:hint="default"/>
      </w:rPr>
    </w:lvl>
    <w:lvl w:ilvl="5">
      <w:start w:val="1"/>
      <w:numFmt w:val="decimal"/>
      <w:isLgl/>
      <w:lvlText w:val="%1.%2.%3.%4.%5.%6."/>
      <w:lvlJc w:val="left"/>
      <w:pPr>
        <w:ind w:left="2175" w:hanging="180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685" w:hanging="2160"/>
      </w:pPr>
      <w:rPr>
        <w:rFonts w:hint="default"/>
      </w:rPr>
    </w:lvl>
    <w:lvl w:ilvl="8">
      <w:start w:val="1"/>
      <w:numFmt w:val="decimal"/>
      <w:isLgl/>
      <w:lvlText w:val="%1.%2.%3.%4.%5.%6.%7.%8.%9."/>
      <w:lvlJc w:val="left"/>
      <w:pPr>
        <w:ind w:left="3120" w:hanging="2520"/>
      </w:pPr>
      <w:rPr>
        <w:rFonts w:hint="default"/>
      </w:rPr>
    </w:lvl>
  </w:abstractNum>
  <w:abstractNum w:abstractNumId="7">
    <w:nsid w:val="29D802E3"/>
    <w:multiLevelType w:val="hybridMultilevel"/>
    <w:tmpl w:val="E292A648"/>
    <w:lvl w:ilvl="0" w:tplc="FD66FD9C">
      <w:start w:val="1"/>
      <w:numFmt w:val="bullet"/>
      <w:lvlText w:val="o"/>
      <w:lvlJc w:val="left"/>
      <w:pPr>
        <w:ind w:left="1080" w:hanging="360"/>
      </w:pPr>
      <w:rPr>
        <w:rFonts w:ascii="Courier New" w:hAnsi="Courier New" w:hint="default"/>
        <w:sz w:val="14"/>
        <w:szCs w:val="1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C33968"/>
    <w:multiLevelType w:val="hybridMultilevel"/>
    <w:tmpl w:val="392E0AAC"/>
    <w:lvl w:ilvl="0" w:tplc="AB5ED8AE">
      <w:start w:val="1"/>
      <w:numFmt w:val="bullet"/>
      <w:pStyle w:val="List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C568F"/>
    <w:multiLevelType w:val="hybridMultilevel"/>
    <w:tmpl w:val="D7D00392"/>
    <w:lvl w:ilvl="0" w:tplc="632646BA">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7C3E"/>
    <w:multiLevelType w:val="hybridMultilevel"/>
    <w:tmpl w:val="A064B0A2"/>
    <w:lvl w:ilvl="0" w:tplc="0409000F">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F32FF8"/>
    <w:multiLevelType w:val="hybridMultilevel"/>
    <w:tmpl w:val="EA50BF4E"/>
    <w:lvl w:ilvl="0" w:tplc="A71459C8">
      <w:start w:val="1"/>
      <w:numFmt w:val="bullet"/>
      <w:pStyle w:val="ListBullet"/>
      <w:lvlText w:val=""/>
      <w:lvlJc w:val="left"/>
      <w:pPr>
        <w:tabs>
          <w:tab w:val="num" w:pos="432"/>
        </w:tabs>
        <w:ind w:left="720" w:hanging="288"/>
      </w:pPr>
      <w:rPr>
        <w:rFonts w:ascii="Wingdings" w:hAnsi="Wingdings" w:hint="default"/>
        <w:color w:val="003366"/>
        <w:sz w:val="1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CE37428"/>
    <w:multiLevelType w:val="hybridMultilevel"/>
    <w:tmpl w:val="D51C2210"/>
    <w:lvl w:ilvl="0" w:tplc="206ADA56">
      <w:start w:val="1"/>
      <w:numFmt w:val="upperLetter"/>
      <w:pStyle w:val="ListBullet3"/>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8D52603"/>
    <w:multiLevelType w:val="hybridMultilevel"/>
    <w:tmpl w:val="0292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BF4123"/>
    <w:multiLevelType w:val="hybridMultilevel"/>
    <w:tmpl w:val="01289BC6"/>
    <w:lvl w:ilvl="0" w:tplc="771E5ECC">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AB690D"/>
    <w:multiLevelType w:val="hybridMultilevel"/>
    <w:tmpl w:val="D7ECF464"/>
    <w:lvl w:ilvl="0" w:tplc="00A4F3D4">
      <w:start w:val="1"/>
      <w:numFmt w:val="bullet"/>
      <w:lvlText w:val=""/>
      <w:lvlJc w:val="left"/>
      <w:pPr>
        <w:ind w:left="1440" w:hanging="360"/>
      </w:pPr>
      <w:rPr>
        <w:rFonts w:ascii="Wingdings" w:hAnsi="Wingdings" w:hint="default"/>
        <w:color w:val="002060"/>
        <w:sz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2"/>
  </w:num>
  <w:num w:numId="4">
    <w:abstractNumId w:val="9"/>
  </w:num>
  <w:num w:numId="5">
    <w:abstractNumId w:val="14"/>
  </w:num>
  <w:num w:numId="6">
    <w:abstractNumId w:val="8"/>
  </w:num>
  <w:num w:numId="7">
    <w:abstractNumId w:val="1"/>
  </w:num>
  <w:num w:numId="8">
    <w:abstractNumId w:val="4"/>
  </w:num>
  <w:num w:numId="9">
    <w:abstractNumId w:val="0"/>
  </w:num>
  <w:num w:numId="10">
    <w:abstractNumId w:val="7"/>
  </w:num>
  <w:num w:numId="11">
    <w:abstractNumId w:val="3"/>
  </w:num>
  <w:num w:numId="12">
    <w:abstractNumId w:val="10"/>
  </w:num>
  <w:num w:numId="13">
    <w:abstractNumId w:val="13"/>
  </w:num>
  <w:num w:numId="14">
    <w:abstractNumId w:val="5"/>
  </w:num>
  <w:num w:numId="15">
    <w:abstractNumId w:val="12"/>
  </w:num>
  <w:num w:numId="16">
    <w:abstractNumId w:val="12"/>
    <w:lvlOverride w:ilvl="0">
      <w:startOverride w:val="1"/>
    </w:lvlOverride>
  </w:num>
  <w:num w:numId="17">
    <w:abstractNumId w:val="8"/>
  </w:num>
  <w:num w:numId="18">
    <w:abstractNumId w:val="8"/>
  </w:num>
  <w:num w:numId="19">
    <w:abstractNumId w:val="8"/>
  </w:num>
  <w:num w:numId="20">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8"/>
  <w:defaultTabStop w:val="720"/>
  <w:characterSpacingControl w:val="doNotCompress"/>
  <w:hdrShapeDefaults>
    <o:shapedefaults v:ext="edit" spidmax="189441"/>
  </w:hdrShapeDefaults>
  <w:footnotePr>
    <w:footnote w:id="-1"/>
    <w:footnote w:id="0"/>
  </w:footnotePr>
  <w:endnotePr>
    <w:endnote w:id="-1"/>
    <w:endnote w:id="0"/>
  </w:endnotePr>
  <w:compat/>
  <w:docVars>
    <w:docVar w:name="EN.Layout" w:val="&lt;ENLayout&gt;&lt;Style&gt;CMS_psg&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Libraries&gt;"/>
  </w:docVars>
  <w:rsids>
    <w:rsidRoot w:val="008D499B"/>
    <w:rsid w:val="00016073"/>
    <w:rsid w:val="00026658"/>
    <w:rsid w:val="000438AE"/>
    <w:rsid w:val="00047409"/>
    <w:rsid w:val="00051F04"/>
    <w:rsid w:val="0005272A"/>
    <w:rsid w:val="00063244"/>
    <w:rsid w:val="0006412B"/>
    <w:rsid w:val="0007210B"/>
    <w:rsid w:val="00075C43"/>
    <w:rsid w:val="00077483"/>
    <w:rsid w:val="00077761"/>
    <w:rsid w:val="000812F5"/>
    <w:rsid w:val="00082C1B"/>
    <w:rsid w:val="00091518"/>
    <w:rsid w:val="000B1D33"/>
    <w:rsid w:val="000B395D"/>
    <w:rsid w:val="000B7689"/>
    <w:rsid w:val="000B76E9"/>
    <w:rsid w:val="000B7E14"/>
    <w:rsid w:val="000C016C"/>
    <w:rsid w:val="000C0B97"/>
    <w:rsid w:val="000C0B9F"/>
    <w:rsid w:val="000C5A7E"/>
    <w:rsid w:val="000C7825"/>
    <w:rsid w:val="000D08CE"/>
    <w:rsid w:val="000D6BFF"/>
    <w:rsid w:val="000E408D"/>
    <w:rsid w:val="000F2BFA"/>
    <w:rsid w:val="00100AFC"/>
    <w:rsid w:val="00101685"/>
    <w:rsid w:val="001049BF"/>
    <w:rsid w:val="001103DC"/>
    <w:rsid w:val="001104B8"/>
    <w:rsid w:val="00110F9E"/>
    <w:rsid w:val="00120422"/>
    <w:rsid w:val="00126943"/>
    <w:rsid w:val="001270C6"/>
    <w:rsid w:val="00134A50"/>
    <w:rsid w:val="001375CC"/>
    <w:rsid w:val="00144473"/>
    <w:rsid w:val="001478E6"/>
    <w:rsid w:val="001504BC"/>
    <w:rsid w:val="00155E08"/>
    <w:rsid w:val="00160129"/>
    <w:rsid w:val="001721A4"/>
    <w:rsid w:val="001801DC"/>
    <w:rsid w:val="001A4A65"/>
    <w:rsid w:val="001A7F47"/>
    <w:rsid w:val="001B1B12"/>
    <w:rsid w:val="001B2FBF"/>
    <w:rsid w:val="001B4E91"/>
    <w:rsid w:val="001B606A"/>
    <w:rsid w:val="001C5E82"/>
    <w:rsid w:val="001D7554"/>
    <w:rsid w:val="001E4D46"/>
    <w:rsid w:val="001F20BD"/>
    <w:rsid w:val="001F55FC"/>
    <w:rsid w:val="00201191"/>
    <w:rsid w:val="00204A3B"/>
    <w:rsid w:val="002070DA"/>
    <w:rsid w:val="00211097"/>
    <w:rsid w:val="00226DBB"/>
    <w:rsid w:val="002274AB"/>
    <w:rsid w:val="00235031"/>
    <w:rsid w:val="00240AC4"/>
    <w:rsid w:val="0024128C"/>
    <w:rsid w:val="002426B9"/>
    <w:rsid w:val="0025730A"/>
    <w:rsid w:val="00260AAD"/>
    <w:rsid w:val="00262024"/>
    <w:rsid w:val="00262F74"/>
    <w:rsid w:val="002703F9"/>
    <w:rsid w:val="00275595"/>
    <w:rsid w:val="0028593D"/>
    <w:rsid w:val="00285B1E"/>
    <w:rsid w:val="00294A61"/>
    <w:rsid w:val="00295EC6"/>
    <w:rsid w:val="002A77F1"/>
    <w:rsid w:val="002B1628"/>
    <w:rsid w:val="002B17D1"/>
    <w:rsid w:val="002B2DC5"/>
    <w:rsid w:val="002B78DB"/>
    <w:rsid w:val="002D51B9"/>
    <w:rsid w:val="002D7B37"/>
    <w:rsid w:val="002E3707"/>
    <w:rsid w:val="002E7B3E"/>
    <w:rsid w:val="002F021D"/>
    <w:rsid w:val="002F0566"/>
    <w:rsid w:val="002F7BCB"/>
    <w:rsid w:val="00301123"/>
    <w:rsid w:val="003013CC"/>
    <w:rsid w:val="00302D11"/>
    <w:rsid w:val="00313D5D"/>
    <w:rsid w:val="00313FA6"/>
    <w:rsid w:val="00320215"/>
    <w:rsid w:val="00321475"/>
    <w:rsid w:val="00331EDF"/>
    <w:rsid w:val="00350104"/>
    <w:rsid w:val="003549CC"/>
    <w:rsid w:val="00354C75"/>
    <w:rsid w:val="0035599C"/>
    <w:rsid w:val="00363F0B"/>
    <w:rsid w:val="0037335E"/>
    <w:rsid w:val="00383D63"/>
    <w:rsid w:val="00396E7C"/>
    <w:rsid w:val="003A23C8"/>
    <w:rsid w:val="003A51FD"/>
    <w:rsid w:val="003A570E"/>
    <w:rsid w:val="003B5EB5"/>
    <w:rsid w:val="003C6218"/>
    <w:rsid w:val="003D56F8"/>
    <w:rsid w:val="003D5D9B"/>
    <w:rsid w:val="003E0703"/>
    <w:rsid w:val="003E2637"/>
    <w:rsid w:val="003E7772"/>
    <w:rsid w:val="003F16EE"/>
    <w:rsid w:val="003F1D2C"/>
    <w:rsid w:val="003F2BFE"/>
    <w:rsid w:val="003F7639"/>
    <w:rsid w:val="00414290"/>
    <w:rsid w:val="00414582"/>
    <w:rsid w:val="004158CC"/>
    <w:rsid w:val="00415F31"/>
    <w:rsid w:val="004173FA"/>
    <w:rsid w:val="0041798C"/>
    <w:rsid w:val="00425D15"/>
    <w:rsid w:val="004274C1"/>
    <w:rsid w:val="00430812"/>
    <w:rsid w:val="004324C7"/>
    <w:rsid w:val="004332DD"/>
    <w:rsid w:val="00436447"/>
    <w:rsid w:val="004368F7"/>
    <w:rsid w:val="00440F0D"/>
    <w:rsid w:val="0044266B"/>
    <w:rsid w:val="00446180"/>
    <w:rsid w:val="00450C0E"/>
    <w:rsid w:val="00452725"/>
    <w:rsid w:val="00452FB9"/>
    <w:rsid w:val="00457409"/>
    <w:rsid w:val="004667B1"/>
    <w:rsid w:val="00467225"/>
    <w:rsid w:val="00467761"/>
    <w:rsid w:val="00471E6C"/>
    <w:rsid w:val="00472000"/>
    <w:rsid w:val="00474B44"/>
    <w:rsid w:val="004935BF"/>
    <w:rsid w:val="00493EF6"/>
    <w:rsid w:val="004A62F8"/>
    <w:rsid w:val="004A671F"/>
    <w:rsid w:val="004A6A31"/>
    <w:rsid w:val="004B043C"/>
    <w:rsid w:val="004B1C2E"/>
    <w:rsid w:val="004C3295"/>
    <w:rsid w:val="004D1833"/>
    <w:rsid w:val="004D2CD9"/>
    <w:rsid w:val="004E2B0D"/>
    <w:rsid w:val="004E7033"/>
    <w:rsid w:val="004F3558"/>
    <w:rsid w:val="004F700A"/>
    <w:rsid w:val="00502498"/>
    <w:rsid w:val="00504ABF"/>
    <w:rsid w:val="00506221"/>
    <w:rsid w:val="00512091"/>
    <w:rsid w:val="005138DF"/>
    <w:rsid w:val="005179F9"/>
    <w:rsid w:val="00521D0A"/>
    <w:rsid w:val="00523469"/>
    <w:rsid w:val="005517BF"/>
    <w:rsid w:val="0056230A"/>
    <w:rsid w:val="00567CA3"/>
    <w:rsid w:val="00574915"/>
    <w:rsid w:val="00583D34"/>
    <w:rsid w:val="005863DA"/>
    <w:rsid w:val="0058652B"/>
    <w:rsid w:val="005922A1"/>
    <w:rsid w:val="00595C2C"/>
    <w:rsid w:val="00595CE4"/>
    <w:rsid w:val="005963E2"/>
    <w:rsid w:val="005A57AC"/>
    <w:rsid w:val="005B17DD"/>
    <w:rsid w:val="005B19A1"/>
    <w:rsid w:val="005C02D6"/>
    <w:rsid w:val="005D20FD"/>
    <w:rsid w:val="005D2A85"/>
    <w:rsid w:val="005D2D63"/>
    <w:rsid w:val="005D657F"/>
    <w:rsid w:val="005E7D27"/>
    <w:rsid w:val="005F697E"/>
    <w:rsid w:val="005F6B29"/>
    <w:rsid w:val="0060432B"/>
    <w:rsid w:val="00606726"/>
    <w:rsid w:val="006122E4"/>
    <w:rsid w:val="0061732E"/>
    <w:rsid w:val="0062152B"/>
    <w:rsid w:val="0062434B"/>
    <w:rsid w:val="00631598"/>
    <w:rsid w:val="00634FD6"/>
    <w:rsid w:val="00635A2A"/>
    <w:rsid w:val="0064243F"/>
    <w:rsid w:val="0065286E"/>
    <w:rsid w:val="00653F92"/>
    <w:rsid w:val="00654888"/>
    <w:rsid w:val="00656B9A"/>
    <w:rsid w:val="00661C51"/>
    <w:rsid w:val="00662F57"/>
    <w:rsid w:val="006642D6"/>
    <w:rsid w:val="00664363"/>
    <w:rsid w:val="00666463"/>
    <w:rsid w:val="00672903"/>
    <w:rsid w:val="00675C73"/>
    <w:rsid w:val="0067685C"/>
    <w:rsid w:val="00676CC4"/>
    <w:rsid w:val="00680BD2"/>
    <w:rsid w:val="00681038"/>
    <w:rsid w:val="006A4578"/>
    <w:rsid w:val="006C1EB7"/>
    <w:rsid w:val="006C48D4"/>
    <w:rsid w:val="006D1828"/>
    <w:rsid w:val="006D1E06"/>
    <w:rsid w:val="006D2A42"/>
    <w:rsid w:val="006D487D"/>
    <w:rsid w:val="006D583A"/>
    <w:rsid w:val="006D738C"/>
    <w:rsid w:val="006E069F"/>
    <w:rsid w:val="006E0EA7"/>
    <w:rsid w:val="006E42B5"/>
    <w:rsid w:val="006E7F73"/>
    <w:rsid w:val="007015C8"/>
    <w:rsid w:val="0070776C"/>
    <w:rsid w:val="00710CCC"/>
    <w:rsid w:val="00712CC4"/>
    <w:rsid w:val="007218B9"/>
    <w:rsid w:val="00721C8F"/>
    <w:rsid w:val="00731CAE"/>
    <w:rsid w:val="00742972"/>
    <w:rsid w:val="0074422C"/>
    <w:rsid w:val="00760333"/>
    <w:rsid w:val="00760635"/>
    <w:rsid w:val="00762865"/>
    <w:rsid w:val="00770753"/>
    <w:rsid w:val="007714D3"/>
    <w:rsid w:val="00780505"/>
    <w:rsid w:val="00783DBE"/>
    <w:rsid w:val="00787786"/>
    <w:rsid w:val="007A0035"/>
    <w:rsid w:val="007A047B"/>
    <w:rsid w:val="007B0E03"/>
    <w:rsid w:val="007B1968"/>
    <w:rsid w:val="007B38BB"/>
    <w:rsid w:val="007C276D"/>
    <w:rsid w:val="007C359F"/>
    <w:rsid w:val="007C469C"/>
    <w:rsid w:val="007C502C"/>
    <w:rsid w:val="007D507E"/>
    <w:rsid w:val="007F0FC4"/>
    <w:rsid w:val="007F22FD"/>
    <w:rsid w:val="007F605D"/>
    <w:rsid w:val="0080447D"/>
    <w:rsid w:val="00807F28"/>
    <w:rsid w:val="008110BA"/>
    <w:rsid w:val="00813A05"/>
    <w:rsid w:val="008209F0"/>
    <w:rsid w:val="00821CFE"/>
    <w:rsid w:val="008256D3"/>
    <w:rsid w:val="0084359F"/>
    <w:rsid w:val="00850058"/>
    <w:rsid w:val="0085337B"/>
    <w:rsid w:val="00863079"/>
    <w:rsid w:val="0087230C"/>
    <w:rsid w:val="008818F3"/>
    <w:rsid w:val="00881FE7"/>
    <w:rsid w:val="008A4000"/>
    <w:rsid w:val="008A5518"/>
    <w:rsid w:val="008B18F1"/>
    <w:rsid w:val="008D1EAE"/>
    <w:rsid w:val="008D499B"/>
    <w:rsid w:val="008E2D7F"/>
    <w:rsid w:val="008E7AB1"/>
    <w:rsid w:val="008F6C7C"/>
    <w:rsid w:val="009061A7"/>
    <w:rsid w:val="0091444F"/>
    <w:rsid w:val="009255FD"/>
    <w:rsid w:val="009316CB"/>
    <w:rsid w:val="00934E5C"/>
    <w:rsid w:val="00940D4F"/>
    <w:rsid w:val="0094522B"/>
    <w:rsid w:val="0095296C"/>
    <w:rsid w:val="009541CD"/>
    <w:rsid w:val="00966B12"/>
    <w:rsid w:val="00984BDE"/>
    <w:rsid w:val="009852F0"/>
    <w:rsid w:val="009A229A"/>
    <w:rsid w:val="009A321E"/>
    <w:rsid w:val="009B3CF3"/>
    <w:rsid w:val="009D17A3"/>
    <w:rsid w:val="009D1B01"/>
    <w:rsid w:val="009E111F"/>
    <w:rsid w:val="009E36FB"/>
    <w:rsid w:val="009F0A77"/>
    <w:rsid w:val="009F417A"/>
    <w:rsid w:val="009F5D4B"/>
    <w:rsid w:val="00A166E6"/>
    <w:rsid w:val="00A236D2"/>
    <w:rsid w:val="00A265E3"/>
    <w:rsid w:val="00A27658"/>
    <w:rsid w:val="00A308B2"/>
    <w:rsid w:val="00A33042"/>
    <w:rsid w:val="00A3539A"/>
    <w:rsid w:val="00A376F8"/>
    <w:rsid w:val="00A41061"/>
    <w:rsid w:val="00A4571A"/>
    <w:rsid w:val="00A459C2"/>
    <w:rsid w:val="00A64310"/>
    <w:rsid w:val="00A64C6A"/>
    <w:rsid w:val="00A6657E"/>
    <w:rsid w:val="00A8252E"/>
    <w:rsid w:val="00AA3D7A"/>
    <w:rsid w:val="00AA6BC6"/>
    <w:rsid w:val="00AB135D"/>
    <w:rsid w:val="00AB4C11"/>
    <w:rsid w:val="00AC0762"/>
    <w:rsid w:val="00AD1812"/>
    <w:rsid w:val="00AD1930"/>
    <w:rsid w:val="00AD4AB7"/>
    <w:rsid w:val="00AE01EC"/>
    <w:rsid w:val="00AE1723"/>
    <w:rsid w:val="00AE3D7B"/>
    <w:rsid w:val="00AF05D6"/>
    <w:rsid w:val="00AF2FCD"/>
    <w:rsid w:val="00B01D54"/>
    <w:rsid w:val="00B06682"/>
    <w:rsid w:val="00B122F0"/>
    <w:rsid w:val="00B14466"/>
    <w:rsid w:val="00B14BCD"/>
    <w:rsid w:val="00B1531D"/>
    <w:rsid w:val="00B20CA5"/>
    <w:rsid w:val="00B244C0"/>
    <w:rsid w:val="00B309A5"/>
    <w:rsid w:val="00B56A47"/>
    <w:rsid w:val="00B61848"/>
    <w:rsid w:val="00B64403"/>
    <w:rsid w:val="00B7597B"/>
    <w:rsid w:val="00B76033"/>
    <w:rsid w:val="00B77C41"/>
    <w:rsid w:val="00B812CE"/>
    <w:rsid w:val="00B86BC4"/>
    <w:rsid w:val="00B93655"/>
    <w:rsid w:val="00B94120"/>
    <w:rsid w:val="00BA4CB7"/>
    <w:rsid w:val="00BB30EF"/>
    <w:rsid w:val="00BD2EB0"/>
    <w:rsid w:val="00C13792"/>
    <w:rsid w:val="00C15682"/>
    <w:rsid w:val="00C20DF1"/>
    <w:rsid w:val="00C2250E"/>
    <w:rsid w:val="00C26224"/>
    <w:rsid w:val="00C35240"/>
    <w:rsid w:val="00C4125E"/>
    <w:rsid w:val="00C51ABD"/>
    <w:rsid w:val="00C56282"/>
    <w:rsid w:val="00C647C7"/>
    <w:rsid w:val="00C65F5F"/>
    <w:rsid w:val="00C74303"/>
    <w:rsid w:val="00C75603"/>
    <w:rsid w:val="00C76EF3"/>
    <w:rsid w:val="00C809AD"/>
    <w:rsid w:val="00C845D8"/>
    <w:rsid w:val="00C92C23"/>
    <w:rsid w:val="00CA1FC1"/>
    <w:rsid w:val="00CA3ED0"/>
    <w:rsid w:val="00CA529B"/>
    <w:rsid w:val="00CA6504"/>
    <w:rsid w:val="00CB409A"/>
    <w:rsid w:val="00CB75A0"/>
    <w:rsid w:val="00CC37A9"/>
    <w:rsid w:val="00CC51F4"/>
    <w:rsid w:val="00CD0BB9"/>
    <w:rsid w:val="00CD1ACE"/>
    <w:rsid w:val="00CF1282"/>
    <w:rsid w:val="00CF6EB1"/>
    <w:rsid w:val="00D030F5"/>
    <w:rsid w:val="00D23332"/>
    <w:rsid w:val="00D26F08"/>
    <w:rsid w:val="00D271F1"/>
    <w:rsid w:val="00D40748"/>
    <w:rsid w:val="00D44A85"/>
    <w:rsid w:val="00D562AB"/>
    <w:rsid w:val="00D72AAB"/>
    <w:rsid w:val="00D819A4"/>
    <w:rsid w:val="00D81F48"/>
    <w:rsid w:val="00D86206"/>
    <w:rsid w:val="00D86882"/>
    <w:rsid w:val="00D9138D"/>
    <w:rsid w:val="00D95347"/>
    <w:rsid w:val="00D967DC"/>
    <w:rsid w:val="00DA76E5"/>
    <w:rsid w:val="00DC07BB"/>
    <w:rsid w:val="00DC66C5"/>
    <w:rsid w:val="00DD02D2"/>
    <w:rsid w:val="00DD04AE"/>
    <w:rsid w:val="00DE45B0"/>
    <w:rsid w:val="00DE7F89"/>
    <w:rsid w:val="00DF20C2"/>
    <w:rsid w:val="00DF58B8"/>
    <w:rsid w:val="00DF70D4"/>
    <w:rsid w:val="00E01A2B"/>
    <w:rsid w:val="00E03E22"/>
    <w:rsid w:val="00E103F2"/>
    <w:rsid w:val="00E150C7"/>
    <w:rsid w:val="00E21A46"/>
    <w:rsid w:val="00E22EC4"/>
    <w:rsid w:val="00E24E1C"/>
    <w:rsid w:val="00E3323F"/>
    <w:rsid w:val="00E40343"/>
    <w:rsid w:val="00E439B3"/>
    <w:rsid w:val="00E477E4"/>
    <w:rsid w:val="00E50537"/>
    <w:rsid w:val="00E620BC"/>
    <w:rsid w:val="00E62DD5"/>
    <w:rsid w:val="00E66A63"/>
    <w:rsid w:val="00E70199"/>
    <w:rsid w:val="00E7325A"/>
    <w:rsid w:val="00E74FB9"/>
    <w:rsid w:val="00E81F46"/>
    <w:rsid w:val="00E97944"/>
    <w:rsid w:val="00E97C14"/>
    <w:rsid w:val="00EA5AA3"/>
    <w:rsid w:val="00EB0996"/>
    <w:rsid w:val="00EB3E4E"/>
    <w:rsid w:val="00EB7455"/>
    <w:rsid w:val="00EB7E7E"/>
    <w:rsid w:val="00EC6FE2"/>
    <w:rsid w:val="00ED3656"/>
    <w:rsid w:val="00EE3DF5"/>
    <w:rsid w:val="00EF4B79"/>
    <w:rsid w:val="00EF4BF3"/>
    <w:rsid w:val="00F00EF7"/>
    <w:rsid w:val="00F03BA0"/>
    <w:rsid w:val="00F10889"/>
    <w:rsid w:val="00F22FA3"/>
    <w:rsid w:val="00F24231"/>
    <w:rsid w:val="00F30D1A"/>
    <w:rsid w:val="00F3607E"/>
    <w:rsid w:val="00F403F1"/>
    <w:rsid w:val="00F42FE6"/>
    <w:rsid w:val="00F460A8"/>
    <w:rsid w:val="00F60381"/>
    <w:rsid w:val="00F61E2F"/>
    <w:rsid w:val="00F66919"/>
    <w:rsid w:val="00F7017D"/>
    <w:rsid w:val="00F87CD1"/>
    <w:rsid w:val="00F90640"/>
    <w:rsid w:val="00F907E7"/>
    <w:rsid w:val="00F938F7"/>
    <w:rsid w:val="00FA4EF8"/>
    <w:rsid w:val="00FB10F1"/>
    <w:rsid w:val="00FC141B"/>
    <w:rsid w:val="00FC1D39"/>
    <w:rsid w:val="00FC2057"/>
    <w:rsid w:val="00FC287C"/>
    <w:rsid w:val="00FC7825"/>
    <w:rsid w:val="00FD4F7A"/>
    <w:rsid w:val="00FF00FF"/>
    <w:rsid w:val="00FF5E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89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3FA"/>
    <w:pPr>
      <w:spacing w:before="160" w:after="160" w:line="240" w:lineRule="auto"/>
    </w:pPr>
    <w:rPr>
      <w:rFonts w:ascii="Calibri" w:hAnsi="Calibri" w:cs="Times New Roman"/>
      <w:sz w:val="24"/>
    </w:rPr>
  </w:style>
  <w:style w:type="paragraph" w:styleId="Heading1">
    <w:name w:val="heading 1"/>
    <w:basedOn w:val="Normal"/>
    <w:next w:val="Normal"/>
    <w:link w:val="Heading1Char"/>
    <w:autoRedefine/>
    <w:qFormat/>
    <w:rsid w:val="005922A1"/>
    <w:pPr>
      <w:keepNext/>
      <w:numPr>
        <w:numId w:val="1"/>
      </w:numPr>
      <w:spacing w:before="0" w:after="0"/>
      <w:outlineLvl w:val="0"/>
    </w:pPr>
    <w:rPr>
      <w:rFonts w:asciiTheme="majorHAnsi" w:eastAsiaTheme="majorEastAsia" w:hAnsiTheme="majorHAnsi" w:cstheme="majorBidi"/>
      <w:b/>
      <w:bCs/>
      <w:szCs w:val="28"/>
    </w:rPr>
  </w:style>
  <w:style w:type="paragraph" w:styleId="Heading2">
    <w:name w:val="heading 2"/>
    <w:basedOn w:val="Normal"/>
    <w:next w:val="Normal"/>
    <w:link w:val="Heading2Char"/>
    <w:qFormat/>
    <w:rsid w:val="005922A1"/>
    <w:pPr>
      <w:keepNext/>
      <w:outlineLvl w:val="1"/>
    </w:pPr>
    <w:rPr>
      <w:rFonts w:asciiTheme="majorHAnsi" w:eastAsia="Times New Roman" w:hAnsiTheme="majorHAnsi" w:cs="Calibri"/>
      <w:b/>
      <w:bCs/>
      <w:sz w:val="20"/>
      <w:szCs w:val="24"/>
    </w:rPr>
  </w:style>
  <w:style w:type="paragraph" w:styleId="Heading3">
    <w:name w:val="heading 3"/>
    <w:basedOn w:val="Normal"/>
    <w:next w:val="BodyTextIndent"/>
    <w:link w:val="Heading3Char"/>
    <w:autoRedefine/>
    <w:qFormat/>
    <w:rsid w:val="004E2B0D"/>
    <w:pPr>
      <w:keepNext/>
      <w:numPr>
        <w:ilvl w:val="2"/>
      </w:numPr>
      <w:outlineLvl w:val="2"/>
    </w:pPr>
    <w:rPr>
      <w:rFonts w:asciiTheme="majorHAnsi" w:eastAsia="Times New Roman" w:hAnsiTheme="majorHAnsi" w:cs="Arial"/>
      <w:b/>
      <w:i/>
      <w:sz w:val="28"/>
    </w:rPr>
  </w:style>
  <w:style w:type="paragraph" w:styleId="Heading4">
    <w:name w:val="heading 4"/>
    <w:basedOn w:val="Normal"/>
    <w:next w:val="Normal"/>
    <w:link w:val="Heading4Char"/>
    <w:autoRedefine/>
    <w:unhideWhenUsed/>
    <w:qFormat/>
    <w:rsid w:val="004E2B0D"/>
    <w:pPr>
      <w:keepNext/>
      <w:keepLines/>
      <w:spacing w:before="200" w:after="0"/>
      <w:jc w:val="center"/>
      <w:outlineLvl w:val="3"/>
    </w:pPr>
    <w:rPr>
      <w:rFonts w:asciiTheme="majorHAnsi" w:eastAsiaTheme="majorEastAsia" w:hAnsiTheme="majorHAnsi" w:cstheme="majorBidi"/>
      <w:b/>
      <w:bCs/>
      <w:iCs/>
      <w:sz w:val="20"/>
    </w:rPr>
  </w:style>
  <w:style w:type="paragraph" w:styleId="Heading5">
    <w:name w:val="heading 5"/>
    <w:basedOn w:val="Normal"/>
    <w:next w:val="Normal"/>
    <w:link w:val="Heading5Char"/>
    <w:autoRedefine/>
    <w:qFormat/>
    <w:rsid w:val="00A64310"/>
    <w:pPr>
      <w:keepNext/>
      <w:spacing w:after="120"/>
      <w:outlineLvl w:val="4"/>
    </w:pPr>
    <w:rPr>
      <w:rFonts w:asciiTheme="majorHAnsi" w:eastAsia="Times New Roman" w:hAnsiTheme="majorHAnsi" w:cstheme="minorBidi"/>
      <w:b/>
      <w:i/>
    </w:rPr>
  </w:style>
  <w:style w:type="paragraph" w:styleId="Heading6">
    <w:name w:val="heading 6"/>
    <w:basedOn w:val="Normal"/>
    <w:next w:val="Normal"/>
    <w:link w:val="Heading6Char"/>
    <w:autoRedefine/>
    <w:uiPriority w:val="9"/>
    <w:unhideWhenUsed/>
    <w:qFormat/>
    <w:rsid w:val="0061732E"/>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autoRedefine/>
    <w:uiPriority w:val="9"/>
    <w:unhideWhenUsed/>
    <w:qFormat/>
    <w:rsid w:val="00AA3D7A"/>
    <w:pPr>
      <w:keepNext/>
      <w:keepLines/>
      <w:spacing w:before="200" w:after="0"/>
      <w:outlineLvl w:val="6"/>
    </w:pPr>
    <w:rPr>
      <w:rFonts w:eastAsiaTheme="majorEastAsia" w:cstheme="majorBidi"/>
      <w:b/>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922A1"/>
    <w:rPr>
      <w:rFonts w:asciiTheme="majorHAnsi" w:eastAsia="Times New Roman" w:hAnsiTheme="majorHAnsi" w:cs="Calibri"/>
      <w:b/>
      <w:bCs/>
      <w:sz w:val="20"/>
      <w:szCs w:val="24"/>
    </w:rPr>
  </w:style>
  <w:style w:type="character" w:customStyle="1" w:styleId="Heading1Char">
    <w:name w:val="Heading 1 Char"/>
    <w:basedOn w:val="DefaultParagraphFont"/>
    <w:link w:val="Heading1"/>
    <w:rsid w:val="005922A1"/>
    <w:rPr>
      <w:rFonts w:asciiTheme="majorHAnsi" w:eastAsiaTheme="majorEastAsia" w:hAnsiTheme="majorHAnsi" w:cstheme="majorBidi"/>
      <w:b/>
      <w:bCs/>
      <w:sz w:val="24"/>
      <w:szCs w:val="28"/>
    </w:rPr>
  </w:style>
  <w:style w:type="character" w:customStyle="1" w:styleId="Heading3Char">
    <w:name w:val="Heading 3 Char"/>
    <w:link w:val="Heading3"/>
    <w:rsid w:val="004E2B0D"/>
    <w:rPr>
      <w:rFonts w:asciiTheme="majorHAnsi" w:eastAsia="Times New Roman" w:hAnsiTheme="majorHAnsi" w:cs="Arial"/>
      <w:b/>
      <w:i/>
      <w:sz w:val="28"/>
    </w:rPr>
  </w:style>
  <w:style w:type="character" w:customStyle="1" w:styleId="Heading4Char">
    <w:name w:val="Heading 4 Char"/>
    <w:basedOn w:val="DefaultParagraphFont"/>
    <w:link w:val="Heading4"/>
    <w:rsid w:val="004E2B0D"/>
    <w:rPr>
      <w:rFonts w:asciiTheme="majorHAnsi" w:eastAsiaTheme="majorEastAsia" w:hAnsiTheme="majorHAnsi" w:cstheme="majorBidi"/>
      <w:b/>
      <w:bCs/>
      <w:iCs/>
      <w:sz w:val="20"/>
    </w:rPr>
  </w:style>
  <w:style w:type="character" w:customStyle="1" w:styleId="Heading5Char">
    <w:name w:val="Heading 5 Char"/>
    <w:link w:val="Heading5"/>
    <w:rsid w:val="00A64310"/>
    <w:rPr>
      <w:rFonts w:asciiTheme="majorHAnsi" w:eastAsia="Times New Roman" w:hAnsiTheme="majorHAnsi"/>
      <w:b/>
      <w:i/>
      <w:sz w:val="24"/>
    </w:rPr>
  </w:style>
  <w:style w:type="character" w:customStyle="1" w:styleId="Heading6Char">
    <w:name w:val="Heading 6 Char"/>
    <w:basedOn w:val="DefaultParagraphFont"/>
    <w:link w:val="Heading6"/>
    <w:uiPriority w:val="9"/>
    <w:rsid w:val="0061732E"/>
    <w:rPr>
      <w:rFonts w:asciiTheme="majorHAnsi" w:eastAsiaTheme="majorEastAsia" w:hAnsiTheme="majorHAnsi" w:cstheme="majorBidi"/>
      <w:i/>
      <w:iCs/>
      <w:sz w:val="24"/>
    </w:rPr>
  </w:style>
  <w:style w:type="character" w:customStyle="1" w:styleId="Heading7Char">
    <w:name w:val="Heading 7 Char"/>
    <w:basedOn w:val="DefaultParagraphFont"/>
    <w:link w:val="Heading7"/>
    <w:uiPriority w:val="9"/>
    <w:rsid w:val="00AA3D7A"/>
    <w:rPr>
      <w:rFonts w:eastAsiaTheme="majorEastAsia" w:cstheme="majorBidi"/>
      <w:b/>
      <w:iCs/>
      <w:sz w:val="20"/>
      <w:szCs w:val="24"/>
    </w:rPr>
  </w:style>
  <w:style w:type="paragraph" w:styleId="BodyTextIndent">
    <w:name w:val="Body Text Indent"/>
    <w:basedOn w:val="Normal"/>
    <w:link w:val="BodyTextIndentChar"/>
    <w:unhideWhenUsed/>
    <w:rsid w:val="00A64310"/>
    <w:pPr>
      <w:spacing w:after="120"/>
      <w:ind w:left="360"/>
    </w:pPr>
  </w:style>
  <w:style w:type="character" w:customStyle="1" w:styleId="BodyTextIndentChar">
    <w:name w:val="Body Text Indent Char"/>
    <w:basedOn w:val="DefaultParagraphFont"/>
    <w:link w:val="BodyTextIndent"/>
    <w:rsid w:val="00A64310"/>
    <w:rPr>
      <w:rFonts w:ascii="Calibri" w:eastAsia="Calibri" w:hAnsi="Calibri" w:cs="Times New Roman"/>
      <w:sz w:val="24"/>
    </w:rPr>
  </w:style>
  <w:style w:type="paragraph" w:styleId="Header">
    <w:name w:val="header"/>
    <w:basedOn w:val="Normal"/>
    <w:link w:val="HeaderChar"/>
    <w:unhideWhenUsed/>
    <w:rsid w:val="008D499B"/>
    <w:pPr>
      <w:tabs>
        <w:tab w:val="center" w:pos="4680"/>
        <w:tab w:val="right" w:pos="9360"/>
      </w:tabs>
      <w:spacing w:after="0"/>
    </w:pPr>
  </w:style>
  <w:style w:type="character" w:customStyle="1" w:styleId="HeaderChar">
    <w:name w:val="Header Char"/>
    <w:basedOn w:val="DefaultParagraphFont"/>
    <w:link w:val="Header"/>
    <w:rsid w:val="008D499B"/>
    <w:rPr>
      <w:rFonts w:ascii="Calibri" w:hAnsi="Calibri" w:cs="Times New Roman"/>
      <w:sz w:val="24"/>
    </w:rPr>
  </w:style>
  <w:style w:type="paragraph" w:styleId="Footer">
    <w:name w:val="footer"/>
    <w:basedOn w:val="Normal"/>
    <w:link w:val="FooterChar"/>
    <w:unhideWhenUsed/>
    <w:rsid w:val="008D499B"/>
    <w:pPr>
      <w:tabs>
        <w:tab w:val="center" w:pos="4680"/>
        <w:tab w:val="right" w:pos="9360"/>
      </w:tabs>
      <w:spacing w:after="0"/>
    </w:pPr>
  </w:style>
  <w:style w:type="character" w:customStyle="1" w:styleId="FooterChar">
    <w:name w:val="Footer Char"/>
    <w:basedOn w:val="DefaultParagraphFont"/>
    <w:link w:val="Footer"/>
    <w:uiPriority w:val="99"/>
    <w:rsid w:val="008D499B"/>
    <w:rPr>
      <w:rFonts w:ascii="Calibri" w:hAnsi="Calibri" w:cs="Times New Roman"/>
      <w:sz w:val="24"/>
    </w:rPr>
  </w:style>
  <w:style w:type="paragraph" w:customStyle="1" w:styleId="Default">
    <w:name w:val="Default"/>
    <w:rsid w:val="008D499B"/>
    <w:pPr>
      <w:autoSpaceDE w:val="0"/>
      <w:autoSpaceDN w:val="0"/>
      <w:adjustRightInd w:val="0"/>
      <w:spacing w:after="0" w:line="240" w:lineRule="auto"/>
    </w:pPr>
    <w:rPr>
      <w:rFonts w:ascii="TimesNewRoman,Bold" w:eastAsia="Times New Roman" w:hAnsi="TimesNewRoman,Bold" w:cs="Times New Roman"/>
      <w:sz w:val="20"/>
      <w:szCs w:val="20"/>
    </w:rPr>
  </w:style>
  <w:style w:type="paragraph" w:styleId="FootnoteText">
    <w:name w:val="footnote text"/>
    <w:basedOn w:val="Normal"/>
    <w:link w:val="FootnoteTextChar"/>
    <w:uiPriority w:val="99"/>
    <w:rsid w:val="003A51FD"/>
    <w:pPr>
      <w:spacing w:after="0"/>
      <w:ind w:left="72" w:hanging="72"/>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3A51FD"/>
    <w:rPr>
      <w:rFonts w:ascii="Times New Roman" w:eastAsia="Times New Roman" w:hAnsi="Times New Roman" w:cs="Times New Roman"/>
      <w:sz w:val="20"/>
      <w:szCs w:val="20"/>
    </w:rPr>
  </w:style>
  <w:style w:type="character" w:styleId="FootnoteReference">
    <w:name w:val="footnote reference"/>
    <w:rsid w:val="003A51FD"/>
    <w:rPr>
      <w:vertAlign w:val="superscript"/>
    </w:rPr>
  </w:style>
  <w:style w:type="character" w:styleId="Hyperlink">
    <w:name w:val="Hyperlink"/>
    <w:rsid w:val="003A51FD"/>
    <w:rPr>
      <w:color w:val="0000FF"/>
      <w:u w:val="single"/>
    </w:rPr>
  </w:style>
  <w:style w:type="paragraph" w:customStyle="1" w:styleId="Pa11">
    <w:name w:val="Pa11"/>
    <w:basedOn w:val="Default"/>
    <w:next w:val="Default"/>
    <w:uiPriority w:val="99"/>
    <w:rsid w:val="003A51FD"/>
    <w:pPr>
      <w:spacing w:line="221" w:lineRule="atLeast"/>
    </w:pPr>
    <w:rPr>
      <w:rFonts w:ascii="Futura Std Book" w:hAnsi="Futura Std Book"/>
      <w:sz w:val="24"/>
      <w:szCs w:val="24"/>
    </w:rPr>
  </w:style>
  <w:style w:type="paragraph" w:styleId="BalloonText">
    <w:name w:val="Balloon Text"/>
    <w:basedOn w:val="Normal"/>
    <w:link w:val="BalloonTextChar"/>
    <w:uiPriority w:val="99"/>
    <w:semiHidden/>
    <w:unhideWhenUsed/>
    <w:rsid w:val="00AE17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723"/>
    <w:rPr>
      <w:rFonts w:ascii="Tahoma" w:hAnsi="Tahoma" w:cs="Tahoma"/>
      <w:sz w:val="16"/>
      <w:szCs w:val="16"/>
    </w:rPr>
  </w:style>
  <w:style w:type="paragraph" w:styleId="Caption">
    <w:name w:val="caption"/>
    <w:basedOn w:val="Normal"/>
    <w:next w:val="Normal"/>
    <w:qFormat/>
    <w:rsid w:val="0095296C"/>
    <w:pPr>
      <w:spacing w:before="40" w:after="20"/>
    </w:pPr>
    <w:rPr>
      <w:rFonts w:asciiTheme="minorHAnsi" w:eastAsia="Times New Roman" w:hAnsiTheme="minorHAnsi"/>
      <w:b/>
      <w:bCs/>
      <w:sz w:val="16"/>
      <w:szCs w:val="20"/>
    </w:rPr>
  </w:style>
  <w:style w:type="character" w:customStyle="1" w:styleId="googqs-tidbit1">
    <w:name w:val="goog_qs-tidbit1"/>
    <w:rsid w:val="00AE1723"/>
    <w:rPr>
      <w:vanish w:val="0"/>
      <w:webHidden w:val="0"/>
      <w:specVanish w:val="0"/>
    </w:rPr>
  </w:style>
  <w:style w:type="character" w:styleId="PageNumber">
    <w:name w:val="page number"/>
    <w:basedOn w:val="DefaultParagraphFont"/>
    <w:rsid w:val="003D5D9B"/>
  </w:style>
  <w:style w:type="paragraph" w:customStyle="1" w:styleId="TEENSY-SPACE">
    <w:name w:val="TEENSY-SPACE"/>
    <w:basedOn w:val="Normal"/>
    <w:rsid w:val="003D5D9B"/>
    <w:pPr>
      <w:spacing w:after="0"/>
    </w:pPr>
    <w:rPr>
      <w:rFonts w:ascii="Arial" w:eastAsia="Times New Roman" w:hAnsi="Arial"/>
      <w:sz w:val="4"/>
      <w:szCs w:val="24"/>
    </w:rPr>
  </w:style>
  <w:style w:type="paragraph" w:customStyle="1" w:styleId="CM20">
    <w:name w:val="CM20"/>
    <w:basedOn w:val="Normal"/>
    <w:next w:val="Normal"/>
    <w:uiPriority w:val="99"/>
    <w:rsid w:val="003D5D9B"/>
    <w:pPr>
      <w:widowControl w:val="0"/>
      <w:autoSpaceDE w:val="0"/>
      <w:autoSpaceDN w:val="0"/>
      <w:adjustRightInd w:val="0"/>
      <w:spacing w:before="120" w:after="0"/>
    </w:pPr>
    <w:rPr>
      <w:rFonts w:ascii="Trebuchet MS" w:eastAsia="Times New Roman" w:hAnsi="Trebuchet MS"/>
      <w:szCs w:val="24"/>
    </w:rPr>
  </w:style>
  <w:style w:type="paragraph" w:styleId="ListParagraph">
    <w:name w:val="List Paragraph"/>
    <w:basedOn w:val="Normal"/>
    <w:uiPriority w:val="34"/>
    <w:qFormat/>
    <w:rsid w:val="00F938F7"/>
    <w:pPr>
      <w:spacing w:before="120" w:after="120"/>
      <w:contextualSpacing/>
    </w:pPr>
    <w:rPr>
      <w:rFonts w:eastAsia="Times New Roman"/>
      <w:sz w:val="20"/>
    </w:rPr>
  </w:style>
  <w:style w:type="paragraph" w:styleId="ListBullet">
    <w:name w:val="List Bullet"/>
    <w:basedOn w:val="Normal"/>
    <w:rsid w:val="0067685C"/>
    <w:pPr>
      <w:numPr>
        <w:numId w:val="2"/>
      </w:numPr>
      <w:spacing w:before="60" w:after="60"/>
      <w:jc w:val="both"/>
    </w:pPr>
    <w:rPr>
      <w:rFonts w:ascii="Times New Roman" w:eastAsia="Times New Roman" w:hAnsi="Times New Roman"/>
      <w:szCs w:val="24"/>
    </w:rPr>
  </w:style>
  <w:style w:type="table" w:styleId="TableGrid">
    <w:name w:val="Table Grid"/>
    <w:basedOn w:val="TableNormal"/>
    <w:uiPriority w:val="59"/>
    <w:rsid w:val="00621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C359F"/>
    <w:pPr>
      <w:spacing w:before="100" w:beforeAutospacing="1" w:after="100" w:afterAutospacing="1"/>
    </w:pPr>
    <w:rPr>
      <w:rFonts w:ascii="Times New Roman" w:eastAsia="Times New Roman" w:hAnsi="Times New Roman"/>
      <w:szCs w:val="24"/>
    </w:rPr>
  </w:style>
  <w:style w:type="character" w:styleId="FollowedHyperlink">
    <w:name w:val="FollowedHyperlink"/>
    <w:basedOn w:val="DefaultParagraphFont"/>
    <w:uiPriority w:val="99"/>
    <w:semiHidden/>
    <w:unhideWhenUsed/>
    <w:rsid w:val="00E97C14"/>
    <w:rPr>
      <w:color w:val="800080" w:themeColor="followedHyperlink"/>
      <w:u w:val="single"/>
    </w:rPr>
  </w:style>
  <w:style w:type="paragraph" w:styleId="CommentText">
    <w:name w:val="annotation text"/>
    <w:basedOn w:val="Normal"/>
    <w:link w:val="CommentTextChar"/>
    <w:uiPriority w:val="99"/>
    <w:semiHidden/>
    <w:rsid w:val="00C4125E"/>
    <w:pPr>
      <w:spacing w:before="120" w:after="0"/>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C4125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4125E"/>
    <w:rPr>
      <w:sz w:val="16"/>
      <w:szCs w:val="16"/>
    </w:rPr>
  </w:style>
  <w:style w:type="paragraph" w:styleId="EndnoteText">
    <w:name w:val="endnote text"/>
    <w:basedOn w:val="Normal"/>
    <w:link w:val="EndnoteTextChar"/>
    <w:unhideWhenUsed/>
    <w:rsid w:val="005922A1"/>
    <w:pPr>
      <w:spacing w:before="0" w:after="240"/>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rsid w:val="005922A1"/>
    <w:rPr>
      <w:rFonts w:eastAsiaTheme="minorEastAsia"/>
      <w:sz w:val="20"/>
      <w:szCs w:val="20"/>
    </w:rPr>
  </w:style>
  <w:style w:type="character" w:styleId="EndnoteReference">
    <w:name w:val="endnote reference"/>
    <w:basedOn w:val="DefaultParagraphFont"/>
    <w:semiHidden/>
    <w:unhideWhenUsed/>
    <w:rsid w:val="00C4125E"/>
    <w:rPr>
      <w:vertAlign w:val="superscript"/>
    </w:rPr>
  </w:style>
  <w:style w:type="character" w:customStyle="1" w:styleId="highlight">
    <w:name w:val="highlight"/>
    <w:basedOn w:val="DefaultParagraphFont"/>
    <w:rsid w:val="00FB10F1"/>
  </w:style>
  <w:style w:type="paragraph" w:styleId="CommentSubject">
    <w:name w:val="annotation subject"/>
    <w:basedOn w:val="CommentText"/>
    <w:next w:val="CommentText"/>
    <w:link w:val="CommentSubjectChar"/>
    <w:uiPriority w:val="99"/>
    <w:semiHidden/>
    <w:unhideWhenUsed/>
    <w:rsid w:val="00FA4EF8"/>
    <w:pPr>
      <w:spacing w:before="160" w:after="160"/>
    </w:pPr>
    <w:rPr>
      <w:rFonts w:ascii="Calibri" w:eastAsia="Calibri" w:hAnsi="Calibri"/>
      <w:b/>
      <w:bCs/>
    </w:rPr>
  </w:style>
  <w:style w:type="character" w:customStyle="1" w:styleId="CommentSubjectChar">
    <w:name w:val="Comment Subject Char"/>
    <w:basedOn w:val="CommentTextChar"/>
    <w:link w:val="CommentSubject"/>
    <w:uiPriority w:val="99"/>
    <w:semiHidden/>
    <w:rsid w:val="00FA4EF8"/>
    <w:rPr>
      <w:rFonts w:ascii="Calibri" w:eastAsia="Times New Roman" w:hAnsi="Calibri" w:cs="Times New Roman"/>
      <w:b/>
      <w:bCs/>
      <w:sz w:val="20"/>
      <w:szCs w:val="20"/>
    </w:rPr>
  </w:style>
  <w:style w:type="paragraph" w:styleId="Revision">
    <w:name w:val="Revision"/>
    <w:hidden/>
    <w:uiPriority w:val="99"/>
    <w:semiHidden/>
    <w:rsid w:val="00680BD2"/>
    <w:pPr>
      <w:spacing w:after="0" w:line="240" w:lineRule="auto"/>
    </w:pPr>
    <w:rPr>
      <w:rFonts w:ascii="Calibri" w:hAnsi="Calibri" w:cs="Times New Roman"/>
      <w:sz w:val="24"/>
    </w:rPr>
  </w:style>
  <w:style w:type="paragraph" w:customStyle="1" w:styleId="Title1">
    <w:name w:val="Title1"/>
    <w:basedOn w:val="Normal"/>
    <w:rsid w:val="00285B1E"/>
    <w:pPr>
      <w:spacing w:before="100" w:beforeAutospacing="1" w:after="100" w:afterAutospacing="1"/>
    </w:pPr>
    <w:rPr>
      <w:rFonts w:ascii="Times New Roman" w:eastAsia="Times New Roman" w:hAnsi="Times New Roman"/>
      <w:szCs w:val="24"/>
    </w:rPr>
  </w:style>
  <w:style w:type="paragraph" w:customStyle="1" w:styleId="desc">
    <w:name w:val="desc"/>
    <w:basedOn w:val="Normal"/>
    <w:rsid w:val="00285B1E"/>
    <w:pPr>
      <w:spacing w:before="100" w:beforeAutospacing="1" w:after="100" w:afterAutospacing="1"/>
    </w:pPr>
    <w:rPr>
      <w:rFonts w:ascii="Times New Roman" w:eastAsia="Times New Roman" w:hAnsi="Times New Roman"/>
      <w:szCs w:val="24"/>
    </w:rPr>
  </w:style>
  <w:style w:type="paragraph" w:customStyle="1" w:styleId="details">
    <w:name w:val="details"/>
    <w:basedOn w:val="Normal"/>
    <w:rsid w:val="00285B1E"/>
    <w:pPr>
      <w:spacing w:before="100" w:beforeAutospacing="1" w:after="100" w:afterAutospacing="1"/>
    </w:pPr>
    <w:rPr>
      <w:rFonts w:ascii="Times New Roman" w:eastAsia="Times New Roman" w:hAnsi="Times New Roman"/>
      <w:szCs w:val="24"/>
    </w:rPr>
  </w:style>
  <w:style w:type="character" w:customStyle="1" w:styleId="jrnl">
    <w:name w:val="jrnl"/>
    <w:basedOn w:val="DefaultParagraphFont"/>
    <w:rsid w:val="00285B1E"/>
  </w:style>
  <w:style w:type="paragraph" w:customStyle="1" w:styleId="BodyText">
    <w:name w:val="BodyText"/>
    <w:basedOn w:val="Normal"/>
    <w:qFormat/>
    <w:rsid w:val="005922A1"/>
    <w:rPr>
      <w:rFonts w:eastAsiaTheme="minorHAnsi"/>
      <w:sz w:val="20"/>
      <w:szCs w:val="20"/>
    </w:rPr>
  </w:style>
  <w:style w:type="paragraph" w:customStyle="1" w:styleId="Body">
    <w:name w:val="Body"/>
    <w:basedOn w:val="Normal"/>
    <w:qFormat/>
    <w:rsid w:val="005922A1"/>
    <w:rPr>
      <w:rFonts w:asciiTheme="minorHAnsi" w:hAnsiTheme="minorHAnsi" w:cstheme="majorBidi"/>
      <w:bCs/>
      <w:iCs/>
      <w:color w:val="0000FF"/>
      <w:sz w:val="20"/>
      <w:szCs w:val="20"/>
    </w:rPr>
  </w:style>
  <w:style w:type="paragraph" w:customStyle="1" w:styleId="Bullet1">
    <w:name w:val="Bullet1"/>
    <w:basedOn w:val="EndnoteText"/>
    <w:qFormat/>
    <w:rsid w:val="005922A1"/>
    <w:pPr>
      <w:numPr>
        <w:numId w:val="14"/>
      </w:numPr>
      <w:spacing w:before="160" w:after="160"/>
    </w:pPr>
  </w:style>
  <w:style w:type="paragraph" w:customStyle="1" w:styleId="BodyIndent">
    <w:name w:val="BodyIndent"/>
    <w:basedOn w:val="BodyText"/>
    <w:qFormat/>
    <w:rsid w:val="004E2B0D"/>
    <w:pPr>
      <w:ind w:left="1080" w:hanging="360"/>
    </w:pPr>
  </w:style>
  <w:style w:type="paragraph" w:customStyle="1" w:styleId="List1">
    <w:name w:val="List1"/>
    <w:basedOn w:val="Normal"/>
    <w:qFormat/>
    <w:rsid w:val="004E2B0D"/>
    <w:pPr>
      <w:spacing w:before="0" w:after="0" w:line="276" w:lineRule="auto"/>
      <w:ind w:left="720" w:hanging="360"/>
    </w:pPr>
    <w:rPr>
      <w:rFonts w:asciiTheme="minorHAnsi" w:eastAsiaTheme="minorHAnsi" w:hAnsiTheme="minorHAnsi" w:cstheme="minorHAnsi"/>
      <w:bCs/>
      <w:iCs/>
      <w:color w:val="0000FF"/>
      <w:sz w:val="20"/>
      <w:szCs w:val="20"/>
    </w:rPr>
  </w:style>
  <w:style w:type="paragraph" w:customStyle="1" w:styleId="ListBullet2">
    <w:name w:val="List Bullet2"/>
    <w:basedOn w:val="ListParagraph"/>
    <w:qFormat/>
    <w:rsid w:val="004E2B0D"/>
    <w:pPr>
      <w:numPr>
        <w:numId w:val="6"/>
      </w:numPr>
      <w:spacing w:before="0" w:after="0"/>
    </w:pPr>
    <w:rPr>
      <w:rFonts w:asciiTheme="minorHAnsi" w:hAnsiTheme="minorHAnsi" w:cstheme="majorBidi"/>
      <w:bCs/>
      <w:iCs/>
      <w:color w:val="0000FF"/>
      <w:szCs w:val="20"/>
    </w:rPr>
  </w:style>
  <w:style w:type="paragraph" w:customStyle="1" w:styleId="Body2">
    <w:name w:val="Body2"/>
    <w:basedOn w:val="Normal"/>
    <w:qFormat/>
    <w:rsid w:val="004E2B0D"/>
    <w:pPr>
      <w:spacing w:before="0" w:line="276" w:lineRule="auto"/>
      <w:ind w:left="720"/>
    </w:pPr>
    <w:rPr>
      <w:rFonts w:asciiTheme="minorHAnsi" w:eastAsiaTheme="minorHAnsi" w:hAnsiTheme="minorHAnsi" w:cstheme="minorHAnsi"/>
      <w:bCs/>
      <w:i/>
      <w:sz w:val="20"/>
      <w:szCs w:val="20"/>
    </w:rPr>
  </w:style>
  <w:style w:type="paragraph" w:customStyle="1" w:styleId="ListBullet1">
    <w:name w:val="List Bullet1"/>
    <w:basedOn w:val="ListBullet2"/>
    <w:qFormat/>
    <w:rsid w:val="00396E7C"/>
  </w:style>
  <w:style w:type="paragraph" w:customStyle="1" w:styleId="Style1">
    <w:name w:val="Style1"/>
    <w:basedOn w:val="ListBullet1"/>
    <w:qFormat/>
    <w:rsid w:val="00396E7C"/>
  </w:style>
  <w:style w:type="paragraph" w:customStyle="1" w:styleId="BodyIndent2">
    <w:name w:val="BodyIndent2"/>
    <w:basedOn w:val="BodyIndent"/>
    <w:qFormat/>
    <w:rsid w:val="00396E7C"/>
    <w:pPr>
      <w:ind w:left="1440"/>
    </w:pPr>
    <w:rPr>
      <w:rFonts w:asciiTheme="minorHAnsi" w:eastAsia="Times New Roman" w:hAnsiTheme="minorHAnsi"/>
      <w:color w:val="0000FF"/>
    </w:rPr>
  </w:style>
  <w:style w:type="paragraph" w:customStyle="1" w:styleId="TextCenter">
    <w:name w:val="TextCenter"/>
    <w:basedOn w:val="Normal"/>
    <w:qFormat/>
    <w:rsid w:val="004173FA"/>
    <w:pPr>
      <w:jc w:val="center"/>
    </w:pPr>
    <w:rPr>
      <w:b/>
      <w:sz w:val="20"/>
      <w:szCs w:val="20"/>
    </w:rPr>
  </w:style>
  <w:style w:type="paragraph" w:customStyle="1" w:styleId="Bullet2">
    <w:name w:val="Bullet2"/>
    <w:basedOn w:val="Bullet1"/>
    <w:qFormat/>
    <w:rsid w:val="004173FA"/>
  </w:style>
  <w:style w:type="paragraph" w:customStyle="1" w:styleId="BulletText">
    <w:name w:val="BulletText"/>
    <w:basedOn w:val="Bullet2"/>
    <w:qFormat/>
    <w:rsid w:val="00A64C6A"/>
    <w:pPr>
      <w:numPr>
        <w:numId w:val="0"/>
      </w:numPr>
      <w:ind w:left="1094"/>
    </w:pPr>
  </w:style>
  <w:style w:type="paragraph" w:customStyle="1" w:styleId="ListParagraph2">
    <w:name w:val="List Paragraph2"/>
    <w:basedOn w:val="Normal"/>
    <w:qFormat/>
    <w:rsid w:val="00A64C6A"/>
    <w:pPr>
      <w:numPr>
        <w:numId w:val="11"/>
      </w:numPr>
      <w:spacing w:before="0" w:after="0" w:line="276" w:lineRule="auto"/>
      <w:contextualSpacing/>
    </w:pPr>
    <w:rPr>
      <w:rFonts w:asciiTheme="minorHAnsi" w:eastAsiaTheme="minorHAnsi" w:hAnsiTheme="minorHAnsi" w:cstheme="minorHAnsi"/>
      <w:bCs/>
      <w:i/>
      <w:sz w:val="20"/>
      <w:szCs w:val="20"/>
    </w:rPr>
  </w:style>
  <w:style w:type="paragraph" w:customStyle="1" w:styleId="List2">
    <w:name w:val="List2"/>
    <w:basedOn w:val="Normal"/>
    <w:qFormat/>
    <w:rsid w:val="00A64C6A"/>
    <w:pPr>
      <w:numPr>
        <w:numId w:val="8"/>
      </w:numPr>
      <w:spacing w:before="0" w:after="0" w:line="276" w:lineRule="auto"/>
      <w:ind w:left="1440"/>
      <w:contextualSpacing/>
    </w:pPr>
    <w:rPr>
      <w:rFonts w:asciiTheme="minorHAnsi" w:eastAsia="Times New Roman" w:hAnsiTheme="minorHAnsi" w:cstheme="minorHAnsi"/>
      <w:bCs/>
      <w:i/>
      <w:sz w:val="20"/>
      <w:szCs w:val="20"/>
    </w:rPr>
  </w:style>
  <w:style w:type="paragraph" w:customStyle="1" w:styleId="ListBullet3">
    <w:name w:val="List Bullet3"/>
    <w:basedOn w:val="ListBullet1"/>
    <w:qFormat/>
    <w:rsid w:val="00A64C6A"/>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3FA"/>
    <w:pPr>
      <w:spacing w:before="160" w:after="160" w:line="240" w:lineRule="auto"/>
    </w:pPr>
    <w:rPr>
      <w:rFonts w:ascii="Calibri" w:hAnsi="Calibri" w:cs="Times New Roman"/>
      <w:sz w:val="24"/>
    </w:rPr>
  </w:style>
  <w:style w:type="paragraph" w:styleId="Heading1">
    <w:name w:val="heading 1"/>
    <w:basedOn w:val="Normal"/>
    <w:next w:val="Normal"/>
    <w:link w:val="Heading1Char"/>
    <w:autoRedefine/>
    <w:qFormat/>
    <w:rsid w:val="005922A1"/>
    <w:pPr>
      <w:keepNext/>
      <w:numPr>
        <w:numId w:val="1"/>
      </w:numPr>
      <w:spacing w:before="0" w:after="0"/>
      <w:outlineLvl w:val="0"/>
    </w:pPr>
    <w:rPr>
      <w:rFonts w:asciiTheme="majorHAnsi" w:eastAsiaTheme="majorEastAsia" w:hAnsiTheme="majorHAnsi" w:cstheme="majorBidi"/>
      <w:b/>
      <w:bCs/>
      <w:szCs w:val="28"/>
    </w:rPr>
  </w:style>
  <w:style w:type="paragraph" w:styleId="Heading2">
    <w:name w:val="heading 2"/>
    <w:basedOn w:val="Normal"/>
    <w:next w:val="Normal"/>
    <w:link w:val="Heading2Char"/>
    <w:qFormat/>
    <w:rsid w:val="005922A1"/>
    <w:pPr>
      <w:keepNext/>
      <w:outlineLvl w:val="1"/>
    </w:pPr>
    <w:rPr>
      <w:rFonts w:asciiTheme="majorHAnsi" w:eastAsia="Times New Roman" w:hAnsiTheme="majorHAnsi" w:cs="Calibri"/>
      <w:b/>
      <w:bCs/>
      <w:sz w:val="20"/>
      <w:szCs w:val="24"/>
    </w:rPr>
  </w:style>
  <w:style w:type="paragraph" w:styleId="Heading3">
    <w:name w:val="heading 3"/>
    <w:basedOn w:val="Normal"/>
    <w:next w:val="BodyTextIndent"/>
    <w:link w:val="Heading3Char"/>
    <w:autoRedefine/>
    <w:qFormat/>
    <w:rsid w:val="004E2B0D"/>
    <w:pPr>
      <w:keepNext/>
      <w:numPr>
        <w:ilvl w:val="2"/>
      </w:numPr>
      <w:outlineLvl w:val="2"/>
    </w:pPr>
    <w:rPr>
      <w:rFonts w:asciiTheme="majorHAnsi" w:eastAsia="Times New Roman" w:hAnsiTheme="majorHAnsi" w:cs="Arial"/>
      <w:b/>
      <w:i/>
      <w:sz w:val="28"/>
    </w:rPr>
  </w:style>
  <w:style w:type="paragraph" w:styleId="Heading4">
    <w:name w:val="heading 4"/>
    <w:basedOn w:val="Normal"/>
    <w:next w:val="Normal"/>
    <w:link w:val="Heading4Char"/>
    <w:autoRedefine/>
    <w:unhideWhenUsed/>
    <w:qFormat/>
    <w:rsid w:val="004E2B0D"/>
    <w:pPr>
      <w:keepNext/>
      <w:keepLines/>
      <w:spacing w:before="200" w:after="0"/>
      <w:jc w:val="center"/>
      <w:outlineLvl w:val="3"/>
    </w:pPr>
    <w:rPr>
      <w:rFonts w:asciiTheme="majorHAnsi" w:eastAsiaTheme="majorEastAsia" w:hAnsiTheme="majorHAnsi" w:cstheme="majorBidi"/>
      <w:b/>
      <w:bCs/>
      <w:iCs/>
      <w:sz w:val="20"/>
    </w:rPr>
  </w:style>
  <w:style w:type="paragraph" w:styleId="Heading5">
    <w:name w:val="heading 5"/>
    <w:basedOn w:val="Normal"/>
    <w:next w:val="Normal"/>
    <w:link w:val="Heading5Char"/>
    <w:autoRedefine/>
    <w:qFormat/>
    <w:rsid w:val="00A64310"/>
    <w:pPr>
      <w:keepNext/>
      <w:spacing w:after="120"/>
      <w:outlineLvl w:val="4"/>
    </w:pPr>
    <w:rPr>
      <w:rFonts w:asciiTheme="majorHAnsi" w:eastAsia="Times New Roman" w:hAnsiTheme="majorHAnsi" w:cstheme="minorBidi"/>
      <w:b/>
      <w:i/>
    </w:rPr>
  </w:style>
  <w:style w:type="paragraph" w:styleId="Heading6">
    <w:name w:val="heading 6"/>
    <w:basedOn w:val="Normal"/>
    <w:next w:val="Normal"/>
    <w:link w:val="Heading6Char"/>
    <w:autoRedefine/>
    <w:uiPriority w:val="9"/>
    <w:unhideWhenUsed/>
    <w:qFormat/>
    <w:rsid w:val="0061732E"/>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autoRedefine/>
    <w:uiPriority w:val="9"/>
    <w:unhideWhenUsed/>
    <w:qFormat/>
    <w:rsid w:val="00AA3D7A"/>
    <w:pPr>
      <w:keepNext/>
      <w:keepLines/>
      <w:spacing w:before="200" w:after="0"/>
      <w:outlineLvl w:val="6"/>
    </w:pPr>
    <w:rPr>
      <w:rFonts w:eastAsiaTheme="majorEastAsia" w:cstheme="majorBidi"/>
      <w:b/>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922A1"/>
    <w:rPr>
      <w:rFonts w:asciiTheme="majorHAnsi" w:eastAsia="Times New Roman" w:hAnsiTheme="majorHAnsi" w:cs="Calibri"/>
      <w:b/>
      <w:bCs/>
      <w:sz w:val="20"/>
      <w:szCs w:val="24"/>
    </w:rPr>
  </w:style>
  <w:style w:type="character" w:customStyle="1" w:styleId="Heading1Char">
    <w:name w:val="Heading 1 Char"/>
    <w:basedOn w:val="DefaultParagraphFont"/>
    <w:link w:val="Heading1"/>
    <w:rsid w:val="005922A1"/>
    <w:rPr>
      <w:rFonts w:asciiTheme="majorHAnsi" w:eastAsiaTheme="majorEastAsia" w:hAnsiTheme="majorHAnsi" w:cstheme="majorBidi"/>
      <w:b/>
      <w:bCs/>
      <w:sz w:val="24"/>
      <w:szCs w:val="28"/>
    </w:rPr>
  </w:style>
  <w:style w:type="character" w:customStyle="1" w:styleId="Heading3Char">
    <w:name w:val="Heading 3 Char"/>
    <w:link w:val="Heading3"/>
    <w:rsid w:val="004E2B0D"/>
    <w:rPr>
      <w:rFonts w:asciiTheme="majorHAnsi" w:eastAsia="Times New Roman" w:hAnsiTheme="majorHAnsi" w:cs="Arial"/>
      <w:b/>
      <w:i/>
      <w:sz w:val="28"/>
    </w:rPr>
  </w:style>
  <w:style w:type="character" w:customStyle="1" w:styleId="Heading4Char">
    <w:name w:val="Heading 4 Char"/>
    <w:basedOn w:val="DefaultParagraphFont"/>
    <w:link w:val="Heading4"/>
    <w:rsid w:val="004E2B0D"/>
    <w:rPr>
      <w:rFonts w:asciiTheme="majorHAnsi" w:eastAsiaTheme="majorEastAsia" w:hAnsiTheme="majorHAnsi" w:cstheme="majorBidi"/>
      <w:b/>
      <w:bCs/>
      <w:iCs/>
      <w:sz w:val="20"/>
    </w:rPr>
  </w:style>
  <w:style w:type="character" w:customStyle="1" w:styleId="Heading5Char">
    <w:name w:val="Heading 5 Char"/>
    <w:link w:val="Heading5"/>
    <w:rsid w:val="00A64310"/>
    <w:rPr>
      <w:rFonts w:asciiTheme="majorHAnsi" w:eastAsia="Times New Roman" w:hAnsiTheme="majorHAnsi"/>
      <w:b/>
      <w:i/>
      <w:sz w:val="24"/>
    </w:rPr>
  </w:style>
  <w:style w:type="character" w:customStyle="1" w:styleId="Heading6Char">
    <w:name w:val="Heading 6 Char"/>
    <w:basedOn w:val="DefaultParagraphFont"/>
    <w:link w:val="Heading6"/>
    <w:uiPriority w:val="9"/>
    <w:rsid w:val="0061732E"/>
    <w:rPr>
      <w:rFonts w:asciiTheme="majorHAnsi" w:eastAsiaTheme="majorEastAsia" w:hAnsiTheme="majorHAnsi" w:cstheme="majorBidi"/>
      <w:i/>
      <w:iCs/>
      <w:sz w:val="24"/>
    </w:rPr>
  </w:style>
  <w:style w:type="character" w:customStyle="1" w:styleId="Heading7Char">
    <w:name w:val="Heading 7 Char"/>
    <w:basedOn w:val="DefaultParagraphFont"/>
    <w:link w:val="Heading7"/>
    <w:uiPriority w:val="9"/>
    <w:rsid w:val="00AA3D7A"/>
    <w:rPr>
      <w:rFonts w:eastAsiaTheme="majorEastAsia" w:cstheme="majorBidi"/>
      <w:b/>
      <w:iCs/>
      <w:sz w:val="20"/>
      <w:szCs w:val="24"/>
    </w:rPr>
  </w:style>
  <w:style w:type="paragraph" w:styleId="BodyTextIndent">
    <w:name w:val="Body Text Indent"/>
    <w:basedOn w:val="Normal"/>
    <w:link w:val="BodyTextIndentChar"/>
    <w:unhideWhenUsed/>
    <w:rsid w:val="00A64310"/>
    <w:pPr>
      <w:spacing w:after="120"/>
      <w:ind w:left="360"/>
    </w:pPr>
  </w:style>
  <w:style w:type="character" w:customStyle="1" w:styleId="BodyTextIndentChar">
    <w:name w:val="Body Text Indent Char"/>
    <w:basedOn w:val="DefaultParagraphFont"/>
    <w:link w:val="BodyTextIndent"/>
    <w:rsid w:val="00A64310"/>
    <w:rPr>
      <w:rFonts w:ascii="Calibri" w:eastAsia="Calibri" w:hAnsi="Calibri" w:cs="Times New Roman"/>
      <w:sz w:val="24"/>
    </w:rPr>
  </w:style>
  <w:style w:type="paragraph" w:styleId="Header">
    <w:name w:val="header"/>
    <w:basedOn w:val="Normal"/>
    <w:link w:val="HeaderChar"/>
    <w:unhideWhenUsed/>
    <w:rsid w:val="008D499B"/>
    <w:pPr>
      <w:tabs>
        <w:tab w:val="center" w:pos="4680"/>
        <w:tab w:val="right" w:pos="9360"/>
      </w:tabs>
      <w:spacing w:after="0"/>
    </w:pPr>
  </w:style>
  <w:style w:type="character" w:customStyle="1" w:styleId="HeaderChar">
    <w:name w:val="Header Char"/>
    <w:basedOn w:val="DefaultParagraphFont"/>
    <w:link w:val="Header"/>
    <w:rsid w:val="008D499B"/>
    <w:rPr>
      <w:rFonts w:ascii="Calibri" w:hAnsi="Calibri" w:cs="Times New Roman"/>
      <w:sz w:val="24"/>
    </w:rPr>
  </w:style>
  <w:style w:type="paragraph" w:styleId="Footer">
    <w:name w:val="footer"/>
    <w:basedOn w:val="Normal"/>
    <w:link w:val="FooterChar"/>
    <w:unhideWhenUsed/>
    <w:rsid w:val="008D499B"/>
    <w:pPr>
      <w:tabs>
        <w:tab w:val="center" w:pos="4680"/>
        <w:tab w:val="right" w:pos="9360"/>
      </w:tabs>
      <w:spacing w:after="0"/>
    </w:pPr>
  </w:style>
  <w:style w:type="character" w:customStyle="1" w:styleId="FooterChar">
    <w:name w:val="Footer Char"/>
    <w:basedOn w:val="DefaultParagraphFont"/>
    <w:link w:val="Footer"/>
    <w:uiPriority w:val="99"/>
    <w:rsid w:val="008D499B"/>
    <w:rPr>
      <w:rFonts w:ascii="Calibri" w:hAnsi="Calibri" w:cs="Times New Roman"/>
      <w:sz w:val="24"/>
    </w:rPr>
  </w:style>
  <w:style w:type="paragraph" w:customStyle="1" w:styleId="Default">
    <w:name w:val="Default"/>
    <w:rsid w:val="008D499B"/>
    <w:pPr>
      <w:autoSpaceDE w:val="0"/>
      <w:autoSpaceDN w:val="0"/>
      <w:adjustRightInd w:val="0"/>
      <w:spacing w:after="0" w:line="240" w:lineRule="auto"/>
    </w:pPr>
    <w:rPr>
      <w:rFonts w:ascii="TimesNewRoman,Bold" w:eastAsia="Times New Roman" w:hAnsi="TimesNewRoman,Bold" w:cs="Times New Roman"/>
      <w:sz w:val="20"/>
      <w:szCs w:val="20"/>
    </w:rPr>
  </w:style>
  <w:style w:type="paragraph" w:styleId="FootnoteText">
    <w:name w:val="footnote text"/>
    <w:basedOn w:val="Normal"/>
    <w:link w:val="FootnoteTextChar"/>
    <w:uiPriority w:val="99"/>
    <w:rsid w:val="003A51FD"/>
    <w:pPr>
      <w:spacing w:after="0"/>
      <w:ind w:left="72" w:hanging="72"/>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3A51FD"/>
    <w:rPr>
      <w:rFonts w:ascii="Times New Roman" w:eastAsia="Times New Roman" w:hAnsi="Times New Roman" w:cs="Times New Roman"/>
      <w:sz w:val="20"/>
      <w:szCs w:val="20"/>
    </w:rPr>
  </w:style>
  <w:style w:type="character" w:styleId="FootnoteReference">
    <w:name w:val="footnote reference"/>
    <w:rsid w:val="003A51FD"/>
    <w:rPr>
      <w:vertAlign w:val="superscript"/>
    </w:rPr>
  </w:style>
  <w:style w:type="character" w:styleId="Hyperlink">
    <w:name w:val="Hyperlink"/>
    <w:rsid w:val="003A51FD"/>
    <w:rPr>
      <w:color w:val="0000FF"/>
      <w:u w:val="single"/>
    </w:rPr>
  </w:style>
  <w:style w:type="paragraph" w:customStyle="1" w:styleId="Pa11">
    <w:name w:val="Pa11"/>
    <w:basedOn w:val="Default"/>
    <w:next w:val="Default"/>
    <w:uiPriority w:val="99"/>
    <w:rsid w:val="003A51FD"/>
    <w:pPr>
      <w:spacing w:line="221" w:lineRule="atLeast"/>
    </w:pPr>
    <w:rPr>
      <w:rFonts w:ascii="Futura Std Book" w:hAnsi="Futura Std Book"/>
      <w:sz w:val="24"/>
      <w:szCs w:val="24"/>
    </w:rPr>
  </w:style>
  <w:style w:type="paragraph" w:styleId="BalloonText">
    <w:name w:val="Balloon Text"/>
    <w:basedOn w:val="Normal"/>
    <w:link w:val="BalloonTextChar"/>
    <w:uiPriority w:val="99"/>
    <w:semiHidden/>
    <w:unhideWhenUsed/>
    <w:rsid w:val="00AE17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723"/>
    <w:rPr>
      <w:rFonts w:ascii="Tahoma" w:hAnsi="Tahoma" w:cs="Tahoma"/>
      <w:sz w:val="16"/>
      <w:szCs w:val="16"/>
    </w:rPr>
  </w:style>
  <w:style w:type="paragraph" w:styleId="Caption">
    <w:name w:val="caption"/>
    <w:basedOn w:val="Normal"/>
    <w:next w:val="Normal"/>
    <w:qFormat/>
    <w:rsid w:val="0095296C"/>
    <w:pPr>
      <w:spacing w:before="40" w:after="20"/>
    </w:pPr>
    <w:rPr>
      <w:rFonts w:asciiTheme="minorHAnsi" w:eastAsia="Times New Roman" w:hAnsiTheme="minorHAnsi"/>
      <w:b/>
      <w:bCs/>
      <w:sz w:val="16"/>
      <w:szCs w:val="20"/>
    </w:rPr>
  </w:style>
  <w:style w:type="character" w:customStyle="1" w:styleId="googqs-tidbit1">
    <w:name w:val="goog_qs-tidbit1"/>
    <w:rsid w:val="00AE1723"/>
    <w:rPr>
      <w:vanish w:val="0"/>
      <w:webHidden w:val="0"/>
      <w:specVanish w:val="0"/>
    </w:rPr>
  </w:style>
  <w:style w:type="character" w:styleId="PageNumber">
    <w:name w:val="page number"/>
    <w:basedOn w:val="DefaultParagraphFont"/>
    <w:rsid w:val="003D5D9B"/>
  </w:style>
  <w:style w:type="paragraph" w:customStyle="1" w:styleId="TEENSY-SPACE">
    <w:name w:val="TEENSY-SPACE"/>
    <w:basedOn w:val="Normal"/>
    <w:rsid w:val="003D5D9B"/>
    <w:pPr>
      <w:spacing w:after="0"/>
    </w:pPr>
    <w:rPr>
      <w:rFonts w:ascii="Arial" w:eastAsia="Times New Roman" w:hAnsi="Arial"/>
      <w:sz w:val="4"/>
      <w:szCs w:val="24"/>
    </w:rPr>
  </w:style>
  <w:style w:type="paragraph" w:customStyle="1" w:styleId="CM20">
    <w:name w:val="CM20"/>
    <w:basedOn w:val="Normal"/>
    <w:next w:val="Normal"/>
    <w:uiPriority w:val="99"/>
    <w:rsid w:val="003D5D9B"/>
    <w:pPr>
      <w:widowControl w:val="0"/>
      <w:autoSpaceDE w:val="0"/>
      <w:autoSpaceDN w:val="0"/>
      <w:adjustRightInd w:val="0"/>
      <w:spacing w:before="120" w:after="0"/>
    </w:pPr>
    <w:rPr>
      <w:rFonts w:ascii="Trebuchet MS" w:eastAsia="Times New Roman" w:hAnsi="Trebuchet MS"/>
      <w:szCs w:val="24"/>
    </w:rPr>
  </w:style>
  <w:style w:type="paragraph" w:styleId="ListParagraph">
    <w:name w:val="List Paragraph"/>
    <w:basedOn w:val="Normal"/>
    <w:uiPriority w:val="34"/>
    <w:qFormat/>
    <w:rsid w:val="00F938F7"/>
    <w:pPr>
      <w:spacing w:before="120" w:after="120"/>
      <w:contextualSpacing/>
    </w:pPr>
    <w:rPr>
      <w:rFonts w:eastAsia="Times New Roman"/>
      <w:sz w:val="20"/>
    </w:rPr>
  </w:style>
  <w:style w:type="paragraph" w:styleId="ListBullet">
    <w:name w:val="List Bullet"/>
    <w:basedOn w:val="Normal"/>
    <w:rsid w:val="0067685C"/>
    <w:pPr>
      <w:numPr>
        <w:numId w:val="2"/>
      </w:numPr>
      <w:spacing w:before="60" w:after="60"/>
      <w:jc w:val="both"/>
    </w:pPr>
    <w:rPr>
      <w:rFonts w:ascii="Times New Roman" w:eastAsia="Times New Roman" w:hAnsi="Times New Roman"/>
      <w:szCs w:val="24"/>
    </w:rPr>
  </w:style>
  <w:style w:type="table" w:styleId="TableGrid">
    <w:name w:val="Table Grid"/>
    <w:basedOn w:val="TableNormal"/>
    <w:uiPriority w:val="59"/>
    <w:rsid w:val="00621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C359F"/>
    <w:pPr>
      <w:spacing w:before="100" w:beforeAutospacing="1" w:after="100" w:afterAutospacing="1"/>
    </w:pPr>
    <w:rPr>
      <w:rFonts w:ascii="Times New Roman" w:eastAsia="Times New Roman" w:hAnsi="Times New Roman"/>
      <w:szCs w:val="24"/>
    </w:rPr>
  </w:style>
  <w:style w:type="character" w:styleId="FollowedHyperlink">
    <w:name w:val="FollowedHyperlink"/>
    <w:basedOn w:val="DefaultParagraphFont"/>
    <w:uiPriority w:val="99"/>
    <w:semiHidden/>
    <w:unhideWhenUsed/>
    <w:rsid w:val="00E97C14"/>
    <w:rPr>
      <w:color w:val="800080" w:themeColor="followedHyperlink"/>
      <w:u w:val="single"/>
    </w:rPr>
  </w:style>
  <w:style w:type="paragraph" w:styleId="CommentText">
    <w:name w:val="annotation text"/>
    <w:basedOn w:val="Normal"/>
    <w:link w:val="CommentTextChar"/>
    <w:uiPriority w:val="99"/>
    <w:semiHidden/>
    <w:rsid w:val="00C4125E"/>
    <w:pPr>
      <w:spacing w:before="120" w:after="0"/>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C4125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4125E"/>
    <w:rPr>
      <w:sz w:val="16"/>
      <w:szCs w:val="16"/>
    </w:rPr>
  </w:style>
  <w:style w:type="paragraph" w:styleId="EndnoteText">
    <w:name w:val="endnote text"/>
    <w:basedOn w:val="Normal"/>
    <w:link w:val="EndnoteTextChar"/>
    <w:unhideWhenUsed/>
    <w:rsid w:val="005922A1"/>
    <w:pPr>
      <w:spacing w:before="0" w:after="240"/>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rsid w:val="005922A1"/>
    <w:rPr>
      <w:rFonts w:eastAsiaTheme="minorEastAsia"/>
      <w:sz w:val="20"/>
      <w:szCs w:val="20"/>
    </w:rPr>
  </w:style>
  <w:style w:type="character" w:styleId="EndnoteReference">
    <w:name w:val="endnote reference"/>
    <w:basedOn w:val="DefaultParagraphFont"/>
    <w:semiHidden/>
    <w:unhideWhenUsed/>
    <w:rsid w:val="00C4125E"/>
    <w:rPr>
      <w:vertAlign w:val="superscript"/>
    </w:rPr>
  </w:style>
  <w:style w:type="character" w:customStyle="1" w:styleId="highlight">
    <w:name w:val="highlight"/>
    <w:basedOn w:val="DefaultParagraphFont"/>
    <w:rsid w:val="00FB10F1"/>
  </w:style>
  <w:style w:type="paragraph" w:styleId="CommentSubject">
    <w:name w:val="annotation subject"/>
    <w:basedOn w:val="CommentText"/>
    <w:next w:val="CommentText"/>
    <w:link w:val="CommentSubjectChar"/>
    <w:uiPriority w:val="99"/>
    <w:semiHidden/>
    <w:unhideWhenUsed/>
    <w:rsid w:val="00FA4EF8"/>
    <w:pPr>
      <w:spacing w:before="160" w:after="160"/>
    </w:pPr>
    <w:rPr>
      <w:rFonts w:ascii="Calibri" w:eastAsia="Calibri" w:hAnsi="Calibri"/>
      <w:b/>
      <w:bCs/>
    </w:rPr>
  </w:style>
  <w:style w:type="character" w:customStyle="1" w:styleId="CommentSubjectChar">
    <w:name w:val="Comment Subject Char"/>
    <w:basedOn w:val="CommentTextChar"/>
    <w:link w:val="CommentSubject"/>
    <w:uiPriority w:val="99"/>
    <w:semiHidden/>
    <w:rsid w:val="00FA4EF8"/>
    <w:rPr>
      <w:rFonts w:ascii="Calibri" w:eastAsia="Times New Roman" w:hAnsi="Calibri" w:cs="Times New Roman"/>
      <w:b/>
      <w:bCs/>
      <w:sz w:val="20"/>
      <w:szCs w:val="20"/>
    </w:rPr>
  </w:style>
  <w:style w:type="paragraph" w:styleId="Revision">
    <w:name w:val="Revision"/>
    <w:hidden/>
    <w:uiPriority w:val="99"/>
    <w:semiHidden/>
    <w:rsid w:val="00680BD2"/>
    <w:pPr>
      <w:spacing w:after="0" w:line="240" w:lineRule="auto"/>
    </w:pPr>
    <w:rPr>
      <w:rFonts w:ascii="Calibri" w:hAnsi="Calibri" w:cs="Times New Roman"/>
      <w:sz w:val="24"/>
    </w:rPr>
  </w:style>
  <w:style w:type="paragraph" w:customStyle="1" w:styleId="Title1">
    <w:name w:val="Title1"/>
    <w:basedOn w:val="Normal"/>
    <w:rsid w:val="00285B1E"/>
    <w:pPr>
      <w:spacing w:before="100" w:beforeAutospacing="1" w:after="100" w:afterAutospacing="1"/>
    </w:pPr>
    <w:rPr>
      <w:rFonts w:ascii="Times New Roman" w:eastAsia="Times New Roman" w:hAnsi="Times New Roman"/>
      <w:szCs w:val="24"/>
    </w:rPr>
  </w:style>
  <w:style w:type="paragraph" w:customStyle="1" w:styleId="desc">
    <w:name w:val="desc"/>
    <w:basedOn w:val="Normal"/>
    <w:rsid w:val="00285B1E"/>
    <w:pPr>
      <w:spacing w:before="100" w:beforeAutospacing="1" w:after="100" w:afterAutospacing="1"/>
    </w:pPr>
    <w:rPr>
      <w:rFonts w:ascii="Times New Roman" w:eastAsia="Times New Roman" w:hAnsi="Times New Roman"/>
      <w:szCs w:val="24"/>
    </w:rPr>
  </w:style>
  <w:style w:type="paragraph" w:customStyle="1" w:styleId="details">
    <w:name w:val="details"/>
    <w:basedOn w:val="Normal"/>
    <w:rsid w:val="00285B1E"/>
    <w:pPr>
      <w:spacing w:before="100" w:beforeAutospacing="1" w:after="100" w:afterAutospacing="1"/>
    </w:pPr>
    <w:rPr>
      <w:rFonts w:ascii="Times New Roman" w:eastAsia="Times New Roman" w:hAnsi="Times New Roman"/>
      <w:szCs w:val="24"/>
    </w:rPr>
  </w:style>
  <w:style w:type="character" w:customStyle="1" w:styleId="jrnl">
    <w:name w:val="jrnl"/>
    <w:basedOn w:val="DefaultParagraphFont"/>
    <w:rsid w:val="00285B1E"/>
  </w:style>
  <w:style w:type="paragraph" w:customStyle="1" w:styleId="BodyText">
    <w:name w:val="BodyText"/>
    <w:basedOn w:val="Normal"/>
    <w:qFormat/>
    <w:rsid w:val="005922A1"/>
    <w:rPr>
      <w:rFonts w:eastAsiaTheme="minorHAnsi"/>
      <w:sz w:val="20"/>
      <w:szCs w:val="20"/>
    </w:rPr>
  </w:style>
  <w:style w:type="paragraph" w:customStyle="1" w:styleId="Body">
    <w:name w:val="Body"/>
    <w:basedOn w:val="Normal"/>
    <w:qFormat/>
    <w:rsid w:val="005922A1"/>
    <w:rPr>
      <w:rFonts w:asciiTheme="minorHAnsi" w:hAnsiTheme="minorHAnsi" w:cstheme="majorBidi"/>
      <w:bCs/>
      <w:iCs/>
      <w:color w:val="0000FF"/>
      <w:sz w:val="20"/>
      <w:szCs w:val="20"/>
    </w:rPr>
  </w:style>
  <w:style w:type="paragraph" w:customStyle="1" w:styleId="Bullet1">
    <w:name w:val="Bullet1"/>
    <w:basedOn w:val="EndnoteText"/>
    <w:qFormat/>
    <w:rsid w:val="005922A1"/>
    <w:pPr>
      <w:numPr>
        <w:numId w:val="14"/>
      </w:numPr>
      <w:spacing w:before="160" w:after="160"/>
    </w:pPr>
  </w:style>
  <w:style w:type="paragraph" w:customStyle="1" w:styleId="BodyIndent">
    <w:name w:val="BodyIndent"/>
    <w:basedOn w:val="BodyText"/>
    <w:qFormat/>
    <w:rsid w:val="004E2B0D"/>
    <w:pPr>
      <w:ind w:left="1080" w:hanging="360"/>
    </w:pPr>
  </w:style>
  <w:style w:type="paragraph" w:customStyle="1" w:styleId="List1">
    <w:name w:val="List1"/>
    <w:basedOn w:val="Normal"/>
    <w:qFormat/>
    <w:rsid w:val="004E2B0D"/>
    <w:pPr>
      <w:spacing w:before="0" w:after="0" w:line="276" w:lineRule="auto"/>
      <w:ind w:left="720" w:hanging="360"/>
    </w:pPr>
    <w:rPr>
      <w:rFonts w:asciiTheme="minorHAnsi" w:eastAsiaTheme="minorHAnsi" w:hAnsiTheme="minorHAnsi" w:cstheme="minorHAnsi"/>
      <w:bCs/>
      <w:iCs/>
      <w:color w:val="0000FF"/>
      <w:sz w:val="20"/>
      <w:szCs w:val="20"/>
    </w:rPr>
  </w:style>
  <w:style w:type="paragraph" w:customStyle="1" w:styleId="ListBullet2">
    <w:name w:val="List Bullet2"/>
    <w:basedOn w:val="ListParagraph"/>
    <w:qFormat/>
    <w:rsid w:val="004E2B0D"/>
    <w:pPr>
      <w:numPr>
        <w:numId w:val="6"/>
      </w:numPr>
      <w:spacing w:before="0" w:after="0"/>
    </w:pPr>
    <w:rPr>
      <w:rFonts w:asciiTheme="minorHAnsi" w:hAnsiTheme="minorHAnsi" w:cstheme="majorBidi"/>
      <w:bCs/>
      <w:iCs/>
      <w:color w:val="0000FF"/>
      <w:szCs w:val="20"/>
    </w:rPr>
  </w:style>
  <w:style w:type="paragraph" w:customStyle="1" w:styleId="Body2">
    <w:name w:val="Body2"/>
    <w:basedOn w:val="Normal"/>
    <w:qFormat/>
    <w:rsid w:val="004E2B0D"/>
    <w:pPr>
      <w:spacing w:before="0" w:line="276" w:lineRule="auto"/>
      <w:ind w:left="720"/>
    </w:pPr>
    <w:rPr>
      <w:rFonts w:asciiTheme="minorHAnsi" w:eastAsiaTheme="minorHAnsi" w:hAnsiTheme="minorHAnsi" w:cstheme="minorHAnsi"/>
      <w:bCs/>
      <w:i/>
      <w:sz w:val="20"/>
      <w:szCs w:val="20"/>
    </w:rPr>
  </w:style>
  <w:style w:type="paragraph" w:customStyle="1" w:styleId="ListBullet1">
    <w:name w:val="List Bullet1"/>
    <w:basedOn w:val="ListBullet2"/>
    <w:qFormat/>
    <w:rsid w:val="00396E7C"/>
  </w:style>
  <w:style w:type="paragraph" w:customStyle="1" w:styleId="Style1">
    <w:name w:val="Style1"/>
    <w:basedOn w:val="ListBullet1"/>
    <w:qFormat/>
    <w:rsid w:val="00396E7C"/>
  </w:style>
  <w:style w:type="paragraph" w:customStyle="1" w:styleId="BodyIndent2">
    <w:name w:val="BodyIndent2"/>
    <w:basedOn w:val="BodyIndent"/>
    <w:qFormat/>
    <w:rsid w:val="00396E7C"/>
    <w:pPr>
      <w:ind w:left="1440"/>
    </w:pPr>
    <w:rPr>
      <w:rFonts w:asciiTheme="minorHAnsi" w:eastAsia="Times New Roman" w:hAnsiTheme="minorHAnsi"/>
      <w:color w:val="0000FF"/>
    </w:rPr>
  </w:style>
  <w:style w:type="paragraph" w:customStyle="1" w:styleId="TextCenter">
    <w:name w:val="TextCenter"/>
    <w:basedOn w:val="Normal"/>
    <w:qFormat/>
    <w:rsid w:val="004173FA"/>
    <w:pPr>
      <w:jc w:val="center"/>
    </w:pPr>
    <w:rPr>
      <w:b/>
      <w:sz w:val="20"/>
      <w:szCs w:val="20"/>
    </w:rPr>
  </w:style>
  <w:style w:type="paragraph" w:customStyle="1" w:styleId="Bullet2">
    <w:name w:val="Bullet2"/>
    <w:basedOn w:val="Bullet1"/>
    <w:qFormat/>
    <w:rsid w:val="004173FA"/>
  </w:style>
  <w:style w:type="paragraph" w:customStyle="1" w:styleId="BulletText">
    <w:name w:val="BulletText"/>
    <w:basedOn w:val="Bullet2"/>
    <w:qFormat/>
    <w:rsid w:val="00A64C6A"/>
    <w:pPr>
      <w:numPr>
        <w:numId w:val="0"/>
      </w:numPr>
      <w:ind w:left="1094"/>
    </w:pPr>
  </w:style>
  <w:style w:type="paragraph" w:customStyle="1" w:styleId="ListParagraph2">
    <w:name w:val="List Paragraph2"/>
    <w:basedOn w:val="Normal"/>
    <w:qFormat/>
    <w:rsid w:val="00A64C6A"/>
    <w:pPr>
      <w:numPr>
        <w:numId w:val="11"/>
      </w:numPr>
      <w:spacing w:before="0" w:after="0" w:line="276" w:lineRule="auto"/>
      <w:contextualSpacing/>
    </w:pPr>
    <w:rPr>
      <w:rFonts w:asciiTheme="minorHAnsi" w:eastAsiaTheme="minorHAnsi" w:hAnsiTheme="minorHAnsi" w:cstheme="minorHAnsi"/>
      <w:bCs/>
      <w:i/>
      <w:sz w:val="20"/>
      <w:szCs w:val="20"/>
    </w:rPr>
  </w:style>
  <w:style w:type="paragraph" w:customStyle="1" w:styleId="List2">
    <w:name w:val="List2"/>
    <w:basedOn w:val="Normal"/>
    <w:qFormat/>
    <w:rsid w:val="00A64C6A"/>
    <w:pPr>
      <w:numPr>
        <w:numId w:val="8"/>
      </w:numPr>
      <w:spacing w:before="0" w:after="0" w:line="276" w:lineRule="auto"/>
      <w:ind w:left="1440"/>
      <w:contextualSpacing/>
    </w:pPr>
    <w:rPr>
      <w:rFonts w:asciiTheme="minorHAnsi" w:eastAsia="Times New Roman" w:hAnsiTheme="minorHAnsi" w:cstheme="minorHAnsi"/>
      <w:bCs/>
      <w:i/>
      <w:sz w:val="20"/>
      <w:szCs w:val="20"/>
    </w:rPr>
  </w:style>
  <w:style w:type="paragraph" w:customStyle="1" w:styleId="ListBullet3">
    <w:name w:val="List Bullet3"/>
    <w:basedOn w:val="ListBullet1"/>
    <w:qFormat/>
    <w:rsid w:val="00A64C6A"/>
    <w:pPr>
      <w:numPr>
        <w:numId w:val="15"/>
      </w:numPr>
    </w:pPr>
  </w:style>
</w:styles>
</file>

<file path=word/webSettings.xml><?xml version="1.0" encoding="utf-8"?>
<w:webSettings xmlns:r="http://schemas.openxmlformats.org/officeDocument/2006/relationships" xmlns:w="http://schemas.openxmlformats.org/wordprocessingml/2006/main">
  <w:divs>
    <w:div w:id="8147653">
      <w:bodyDiv w:val="1"/>
      <w:marLeft w:val="0"/>
      <w:marRight w:val="0"/>
      <w:marTop w:val="0"/>
      <w:marBottom w:val="0"/>
      <w:divBdr>
        <w:top w:val="none" w:sz="0" w:space="0" w:color="auto"/>
        <w:left w:val="none" w:sz="0" w:space="0" w:color="auto"/>
        <w:bottom w:val="none" w:sz="0" w:space="0" w:color="auto"/>
        <w:right w:val="none" w:sz="0" w:space="0" w:color="auto"/>
      </w:divBdr>
      <w:divsChild>
        <w:div w:id="2081515781">
          <w:marLeft w:val="0"/>
          <w:marRight w:val="0"/>
          <w:marTop w:val="0"/>
          <w:marBottom w:val="0"/>
          <w:divBdr>
            <w:top w:val="none" w:sz="0" w:space="0" w:color="auto"/>
            <w:left w:val="none" w:sz="0" w:space="0" w:color="auto"/>
            <w:bottom w:val="none" w:sz="0" w:space="0" w:color="auto"/>
            <w:right w:val="none" w:sz="0" w:space="0" w:color="auto"/>
          </w:divBdr>
          <w:divsChild>
            <w:div w:id="594679005">
              <w:marLeft w:val="0"/>
              <w:marRight w:val="0"/>
              <w:marTop w:val="0"/>
              <w:marBottom w:val="0"/>
              <w:divBdr>
                <w:top w:val="none" w:sz="0" w:space="0" w:color="auto"/>
                <w:left w:val="none" w:sz="0" w:space="0" w:color="auto"/>
                <w:bottom w:val="none" w:sz="0" w:space="0" w:color="auto"/>
                <w:right w:val="none" w:sz="0" w:space="0" w:color="auto"/>
              </w:divBdr>
              <w:divsChild>
                <w:div w:id="794759247">
                  <w:marLeft w:val="0"/>
                  <w:marRight w:val="0"/>
                  <w:marTop w:val="0"/>
                  <w:marBottom w:val="0"/>
                  <w:divBdr>
                    <w:top w:val="none" w:sz="0" w:space="0" w:color="auto"/>
                    <w:left w:val="none" w:sz="0" w:space="0" w:color="auto"/>
                    <w:bottom w:val="none" w:sz="0" w:space="0" w:color="auto"/>
                    <w:right w:val="none" w:sz="0" w:space="0" w:color="auto"/>
                  </w:divBdr>
                  <w:divsChild>
                    <w:div w:id="1047098924">
                      <w:marLeft w:val="0"/>
                      <w:marRight w:val="0"/>
                      <w:marTop w:val="0"/>
                      <w:marBottom w:val="0"/>
                      <w:divBdr>
                        <w:top w:val="none" w:sz="0" w:space="0" w:color="auto"/>
                        <w:left w:val="none" w:sz="0" w:space="0" w:color="auto"/>
                        <w:bottom w:val="none" w:sz="0" w:space="0" w:color="auto"/>
                        <w:right w:val="none" w:sz="0" w:space="0" w:color="auto"/>
                      </w:divBdr>
                      <w:divsChild>
                        <w:div w:id="1069814540">
                          <w:marLeft w:val="0"/>
                          <w:marRight w:val="0"/>
                          <w:marTop w:val="0"/>
                          <w:marBottom w:val="0"/>
                          <w:divBdr>
                            <w:top w:val="none" w:sz="0" w:space="0" w:color="auto"/>
                            <w:left w:val="none" w:sz="0" w:space="0" w:color="auto"/>
                            <w:bottom w:val="none" w:sz="0" w:space="0" w:color="auto"/>
                            <w:right w:val="none" w:sz="0" w:space="0" w:color="auto"/>
                          </w:divBdr>
                          <w:divsChild>
                            <w:div w:id="1811314825">
                              <w:marLeft w:val="0"/>
                              <w:marRight w:val="0"/>
                              <w:marTop w:val="0"/>
                              <w:marBottom w:val="0"/>
                              <w:divBdr>
                                <w:top w:val="none" w:sz="0" w:space="0" w:color="auto"/>
                                <w:left w:val="none" w:sz="0" w:space="0" w:color="auto"/>
                                <w:bottom w:val="none" w:sz="0" w:space="0" w:color="auto"/>
                                <w:right w:val="none" w:sz="0" w:space="0" w:color="auto"/>
                              </w:divBdr>
                              <w:divsChild>
                                <w:div w:id="373699494">
                                  <w:marLeft w:val="0"/>
                                  <w:marRight w:val="0"/>
                                  <w:marTop w:val="0"/>
                                  <w:marBottom w:val="0"/>
                                  <w:divBdr>
                                    <w:top w:val="none" w:sz="0" w:space="0" w:color="auto"/>
                                    <w:left w:val="none" w:sz="0" w:space="0" w:color="auto"/>
                                    <w:bottom w:val="none" w:sz="0" w:space="0" w:color="auto"/>
                                    <w:right w:val="none" w:sz="0" w:space="0" w:color="auto"/>
                                  </w:divBdr>
                                  <w:divsChild>
                                    <w:div w:id="1996109471">
                                      <w:marLeft w:val="0"/>
                                      <w:marRight w:val="0"/>
                                      <w:marTop w:val="0"/>
                                      <w:marBottom w:val="0"/>
                                      <w:divBdr>
                                        <w:top w:val="none" w:sz="0" w:space="0" w:color="auto"/>
                                        <w:left w:val="none" w:sz="0" w:space="0" w:color="auto"/>
                                        <w:bottom w:val="none" w:sz="0" w:space="0" w:color="auto"/>
                                        <w:right w:val="none" w:sz="0" w:space="0" w:color="auto"/>
                                      </w:divBdr>
                                    </w:div>
                                    <w:div w:id="9178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91446">
      <w:bodyDiv w:val="1"/>
      <w:marLeft w:val="0"/>
      <w:marRight w:val="0"/>
      <w:marTop w:val="0"/>
      <w:marBottom w:val="0"/>
      <w:divBdr>
        <w:top w:val="none" w:sz="0" w:space="0" w:color="auto"/>
        <w:left w:val="none" w:sz="0" w:space="0" w:color="auto"/>
        <w:bottom w:val="none" w:sz="0" w:space="0" w:color="auto"/>
        <w:right w:val="none" w:sz="0" w:space="0" w:color="auto"/>
      </w:divBdr>
    </w:div>
    <w:div w:id="120540577">
      <w:bodyDiv w:val="1"/>
      <w:marLeft w:val="0"/>
      <w:marRight w:val="0"/>
      <w:marTop w:val="0"/>
      <w:marBottom w:val="0"/>
      <w:divBdr>
        <w:top w:val="none" w:sz="0" w:space="0" w:color="auto"/>
        <w:left w:val="none" w:sz="0" w:space="0" w:color="auto"/>
        <w:bottom w:val="none" w:sz="0" w:space="0" w:color="auto"/>
        <w:right w:val="none" w:sz="0" w:space="0" w:color="auto"/>
      </w:divBdr>
    </w:div>
    <w:div w:id="127206777">
      <w:bodyDiv w:val="1"/>
      <w:marLeft w:val="0"/>
      <w:marRight w:val="0"/>
      <w:marTop w:val="0"/>
      <w:marBottom w:val="0"/>
      <w:divBdr>
        <w:top w:val="none" w:sz="0" w:space="0" w:color="auto"/>
        <w:left w:val="none" w:sz="0" w:space="0" w:color="auto"/>
        <w:bottom w:val="none" w:sz="0" w:space="0" w:color="auto"/>
        <w:right w:val="none" w:sz="0" w:space="0" w:color="auto"/>
      </w:divBdr>
    </w:div>
    <w:div w:id="294412512">
      <w:bodyDiv w:val="1"/>
      <w:marLeft w:val="0"/>
      <w:marRight w:val="0"/>
      <w:marTop w:val="0"/>
      <w:marBottom w:val="0"/>
      <w:divBdr>
        <w:top w:val="none" w:sz="0" w:space="0" w:color="auto"/>
        <w:left w:val="none" w:sz="0" w:space="0" w:color="auto"/>
        <w:bottom w:val="none" w:sz="0" w:space="0" w:color="auto"/>
        <w:right w:val="none" w:sz="0" w:space="0" w:color="auto"/>
      </w:divBdr>
    </w:div>
    <w:div w:id="325518407">
      <w:bodyDiv w:val="1"/>
      <w:marLeft w:val="0"/>
      <w:marRight w:val="0"/>
      <w:marTop w:val="0"/>
      <w:marBottom w:val="0"/>
      <w:divBdr>
        <w:top w:val="none" w:sz="0" w:space="0" w:color="auto"/>
        <w:left w:val="none" w:sz="0" w:space="0" w:color="auto"/>
        <w:bottom w:val="none" w:sz="0" w:space="0" w:color="auto"/>
        <w:right w:val="none" w:sz="0" w:space="0" w:color="auto"/>
      </w:divBdr>
    </w:div>
    <w:div w:id="476728786">
      <w:bodyDiv w:val="1"/>
      <w:marLeft w:val="0"/>
      <w:marRight w:val="0"/>
      <w:marTop w:val="0"/>
      <w:marBottom w:val="0"/>
      <w:divBdr>
        <w:top w:val="none" w:sz="0" w:space="0" w:color="auto"/>
        <w:left w:val="none" w:sz="0" w:space="0" w:color="auto"/>
        <w:bottom w:val="none" w:sz="0" w:space="0" w:color="auto"/>
        <w:right w:val="none" w:sz="0" w:space="0" w:color="auto"/>
      </w:divBdr>
      <w:divsChild>
        <w:div w:id="263342616">
          <w:marLeft w:val="0"/>
          <w:marRight w:val="0"/>
          <w:marTop w:val="0"/>
          <w:marBottom w:val="0"/>
          <w:divBdr>
            <w:top w:val="none" w:sz="0" w:space="0" w:color="auto"/>
            <w:left w:val="none" w:sz="0" w:space="0" w:color="auto"/>
            <w:bottom w:val="none" w:sz="0" w:space="0" w:color="auto"/>
            <w:right w:val="none" w:sz="0" w:space="0" w:color="auto"/>
          </w:divBdr>
          <w:divsChild>
            <w:div w:id="445076269">
              <w:marLeft w:val="0"/>
              <w:marRight w:val="0"/>
              <w:marTop w:val="0"/>
              <w:marBottom w:val="0"/>
              <w:divBdr>
                <w:top w:val="none" w:sz="0" w:space="0" w:color="auto"/>
                <w:left w:val="none" w:sz="0" w:space="0" w:color="auto"/>
                <w:bottom w:val="none" w:sz="0" w:space="0" w:color="auto"/>
                <w:right w:val="none" w:sz="0" w:space="0" w:color="auto"/>
              </w:divBdr>
              <w:divsChild>
                <w:div w:id="1870990504">
                  <w:marLeft w:val="0"/>
                  <w:marRight w:val="0"/>
                  <w:marTop w:val="0"/>
                  <w:marBottom w:val="0"/>
                  <w:divBdr>
                    <w:top w:val="none" w:sz="0" w:space="0" w:color="auto"/>
                    <w:left w:val="none" w:sz="0" w:space="0" w:color="auto"/>
                    <w:bottom w:val="none" w:sz="0" w:space="0" w:color="auto"/>
                    <w:right w:val="none" w:sz="0" w:space="0" w:color="auto"/>
                  </w:divBdr>
                  <w:divsChild>
                    <w:div w:id="1624144794">
                      <w:marLeft w:val="0"/>
                      <w:marRight w:val="0"/>
                      <w:marTop w:val="0"/>
                      <w:marBottom w:val="0"/>
                      <w:divBdr>
                        <w:top w:val="none" w:sz="0" w:space="0" w:color="auto"/>
                        <w:left w:val="none" w:sz="0" w:space="0" w:color="auto"/>
                        <w:bottom w:val="none" w:sz="0" w:space="0" w:color="auto"/>
                        <w:right w:val="none" w:sz="0" w:space="0" w:color="auto"/>
                      </w:divBdr>
                      <w:divsChild>
                        <w:div w:id="1691907426">
                          <w:marLeft w:val="0"/>
                          <w:marRight w:val="0"/>
                          <w:marTop w:val="0"/>
                          <w:marBottom w:val="0"/>
                          <w:divBdr>
                            <w:top w:val="none" w:sz="0" w:space="0" w:color="auto"/>
                            <w:left w:val="none" w:sz="0" w:space="0" w:color="auto"/>
                            <w:bottom w:val="none" w:sz="0" w:space="0" w:color="auto"/>
                            <w:right w:val="none" w:sz="0" w:space="0" w:color="auto"/>
                          </w:divBdr>
                          <w:divsChild>
                            <w:div w:id="138113121">
                              <w:marLeft w:val="0"/>
                              <w:marRight w:val="0"/>
                              <w:marTop w:val="0"/>
                              <w:marBottom w:val="0"/>
                              <w:divBdr>
                                <w:top w:val="none" w:sz="0" w:space="0" w:color="auto"/>
                                <w:left w:val="none" w:sz="0" w:space="0" w:color="auto"/>
                                <w:bottom w:val="none" w:sz="0" w:space="0" w:color="auto"/>
                                <w:right w:val="none" w:sz="0" w:space="0" w:color="auto"/>
                              </w:divBdr>
                              <w:divsChild>
                                <w:div w:id="1059477447">
                                  <w:marLeft w:val="0"/>
                                  <w:marRight w:val="0"/>
                                  <w:marTop w:val="0"/>
                                  <w:marBottom w:val="0"/>
                                  <w:divBdr>
                                    <w:top w:val="none" w:sz="0" w:space="0" w:color="auto"/>
                                    <w:left w:val="none" w:sz="0" w:space="0" w:color="auto"/>
                                    <w:bottom w:val="none" w:sz="0" w:space="0" w:color="auto"/>
                                    <w:right w:val="none" w:sz="0" w:space="0" w:color="auto"/>
                                  </w:divBdr>
                                  <w:divsChild>
                                    <w:div w:id="133262126">
                                      <w:marLeft w:val="0"/>
                                      <w:marRight w:val="0"/>
                                      <w:marTop w:val="0"/>
                                      <w:marBottom w:val="0"/>
                                      <w:divBdr>
                                        <w:top w:val="none" w:sz="0" w:space="0" w:color="auto"/>
                                        <w:left w:val="none" w:sz="0" w:space="0" w:color="auto"/>
                                        <w:bottom w:val="none" w:sz="0" w:space="0" w:color="auto"/>
                                        <w:right w:val="none" w:sz="0" w:space="0" w:color="auto"/>
                                      </w:divBdr>
                                    </w:div>
                                    <w:div w:id="1857233378">
                                      <w:marLeft w:val="0"/>
                                      <w:marRight w:val="0"/>
                                      <w:marTop w:val="0"/>
                                      <w:marBottom w:val="0"/>
                                      <w:divBdr>
                                        <w:top w:val="none" w:sz="0" w:space="0" w:color="auto"/>
                                        <w:left w:val="none" w:sz="0" w:space="0" w:color="auto"/>
                                        <w:bottom w:val="none" w:sz="0" w:space="0" w:color="auto"/>
                                        <w:right w:val="none" w:sz="0" w:space="0" w:color="auto"/>
                                      </w:divBdr>
                                    </w:div>
                                    <w:div w:id="191589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1378565">
      <w:bodyDiv w:val="1"/>
      <w:marLeft w:val="0"/>
      <w:marRight w:val="0"/>
      <w:marTop w:val="0"/>
      <w:marBottom w:val="0"/>
      <w:divBdr>
        <w:top w:val="none" w:sz="0" w:space="0" w:color="auto"/>
        <w:left w:val="none" w:sz="0" w:space="0" w:color="auto"/>
        <w:bottom w:val="none" w:sz="0" w:space="0" w:color="auto"/>
        <w:right w:val="none" w:sz="0" w:space="0" w:color="auto"/>
      </w:divBdr>
      <w:divsChild>
        <w:div w:id="2004157194">
          <w:marLeft w:val="0"/>
          <w:marRight w:val="0"/>
          <w:marTop w:val="0"/>
          <w:marBottom w:val="0"/>
          <w:divBdr>
            <w:top w:val="none" w:sz="0" w:space="0" w:color="auto"/>
            <w:left w:val="none" w:sz="0" w:space="0" w:color="auto"/>
            <w:bottom w:val="none" w:sz="0" w:space="0" w:color="auto"/>
            <w:right w:val="none" w:sz="0" w:space="0" w:color="auto"/>
          </w:divBdr>
          <w:divsChild>
            <w:div w:id="1700661995">
              <w:marLeft w:val="0"/>
              <w:marRight w:val="0"/>
              <w:marTop w:val="0"/>
              <w:marBottom w:val="0"/>
              <w:divBdr>
                <w:top w:val="none" w:sz="0" w:space="0" w:color="auto"/>
                <w:left w:val="none" w:sz="0" w:space="0" w:color="auto"/>
                <w:bottom w:val="none" w:sz="0" w:space="0" w:color="auto"/>
                <w:right w:val="none" w:sz="0" w:space="0" w:color="auto"/>
              </w:divBdr>
              <w:divsChild>
                <w:div w:id="1615482064">
                  <w:marLeft w:val="0"/>
                  <w:marRight w:val="0"/>
                  <w:marTop w:val="0"/>
                  <w:marBottom w:val="0"/>
                  <w:divBdr>
                    <w:top w:val="none" w:sz="0" w:space="0" w:color="auto"/>
                    <w:left w:val="none" w:sz="0" w:space="0" w:color="auto"/>
                    <w:bottom w:val="none" w:sz="0" w:space="0" w:color="auto"/>
                    <w:right w:val="none" w:sz="0" w:space="0" w:color="auto"/>
                  </w:divBdr>
                  <w:divsChild>
                    <w:div w:id="648707190">
                      <w:marLeft w:val="0"/>
                      <w:marRight w:val="0"/>
                      <w:marTop w:val="0"/>
                      <w:marBottom w:val="0"/>
                      <w:divBdr>
                        <w:top w:val="none" w:sz="0" w:space="0" w:color="auto"/>
                        <w:left w:val="none" w:sz="0" w:space="0" w:color="auto"/>
                        <w:bottom w:val="none" w:sz="0" w:space="0" w:color="auto"/>
                        <w:right w:val="none" w:sz="0" w:space="0" w:color="auto"/>
                      </w:divBdr>
                      <w:divsChild>
                        <w:div w:id="1428651688">
                          <w:marLeft w:val="0"/>
                          <w:marRight w:val="0"/>
                          <w:marTop w:val="0"/>
                          <w:marBottom w:val="0"/>
                          <w:divBdr>
                            <w:top w:val="none" w:sz="0" w:space="0" w:color="auto"/>
                            <w:left w:val="none" w:sz="0" w:space="0" w:color="auto"/>
                            <w:bottom w:val="none" w:sz="0" w:space="0" w:color="auto"/>
                            <w:right w:val="none" w:sz="0" w:space="0" w:color="auto"/>
                          </w:divBdr>
                          <w:divsChild>
                            <w:div w:id="760565447">
                              <w:marLeft w:val="0"/>
                              <w:marRight w:val="0"/>
                              <w:marTop w:val="0"/>
                              <w:marBottom w:val="0"/>
                              <w:divBdr>
                                <w:top w:val="none" w:sz="0" w:space="0" w:color="auto"/>
                                <w:left w:val="none" w:sz="0" w:space="0" w:color="auto"/>
                                <w:bottom w:val="none" w:sz="0" w:space="0" w:color="auto"/>
                                <w:right w:val="none" w:sz="0" w:space="0" w:color="auto"/>
                              </w:divBdr>
                              <w:divsChild>
                                <w:div w:id="1332028426">
                                  <w:marLeft w:val="0"/>
                                  <w:marRight w:val="0"/>
                                  <w:marTop w:val="0"/>
                                  <w:marBottom w:val="0"/>
                                  <w:divBdr>
                                    <w:top w:val="none" w:sz="0" w:space="0" w:color="auto"/>
                                    <w:left w:val="none" w:sz="0" w:space="0" w:color="auto"/>
                                    <w:bottom w:val="none" w:sz="0" w:space="0" w:color="auto"/>
                                    <w:right w:val="none" w:sz="0" w:space="0" w:color="auto"/>
                                  </w:divBdr>
                                  <w:divsChild>
                                    <w:div w:id="552891537">
                                      <w:marLeft w:val="0"/>
                                      <w:marRight w:val="0"/>
                                      <w:marTop w:val="0"/>
                                      <w:marBottom w:val="0"/>
                                      <w:divBdr>
                                        <w:top w:val="none" w:sz="0" w:space="0" w:color="auto"/>
                                        <w:left w:val="none" w:sz="0" w:space="0" w:color="auto"/>
                                        <w:bottom w:val="none" w:sz="0" w:space="0" w:color="auto"/>
                                        <w:right w:val="none" w:sz="0" w:space="0" w:color="auto"/>
                                      </w:divBdr>
                                    </w:div>
                                    <w:div w:id="21294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955918">
      <w:bodyDiv w:val="1"/>
      <w:marLeft w:val="0"/>
      <w:marRight w:val="0"/>
      <w:marTop w:val="0"/>
      <w:marBottom w:val="0"/>
      <w:divBdr>
        <w:top w:val="none" w:sz="0" w:space="0" w:color="auto"/>
        <w:left w:val="none" w:sz="0" w:space="0" w:color="auto"/>
        <w:bottom w:val="none" w:sz="0" w:space="0" w:color="auto"/>
        <w:right w:val="none" w:sz="0" w:space="0" w:color="auto"/>
      </w:divBdr>
    </w:div>
    <w:div w:id="774133403">
      <w:bodyDiv w:val="1"/>
      <w:marLeft w:val="0"/>
      <w:marRight w:val="0"/>
      <w:marTop w:val="0"/>
      <w:marBottom w:val="0"/>
      <w:divBdr>
        <w:top w:val="none" w:sz="0" w:space="0" w:color="auto"/>
        <w:left w:val="none" w:sz="0" w:space="0" w:color="auto"/>
        <w:bottom w:val="none" w:sz="0" w:space="0" w:color="auto"/>
        <w:right w:val="none" w:sz="0" w:space="0" w:color="auto"/>
      </w:divBdr>
    </w:div>
    <w:div w:id="808012042">
      <w:bodyDiv w:val="1"/>
      <w:marLeft w:val="0"/>
      <w:marRight w:val="0"/>
      <w:marTop w:val="0"/>
      <w:marBottom w:val="0"/>
      <w:divBdr>
        <w:top w:val="none" w:sz="0" w:space="0" w:color="auto"/>
        <w:left w:val="none" w:sz="0" w:space="0" w:color="auto"/>
        <w:bottom w:val="none" w:sz="0" w:space="0" w:color="auto"/>
        <w:right w:val="none" w:sz="0" w:space="0" w:color="auto"/>
      </w:divBdr>
      <w:divsChild>
        <w:div w:id="658773952">
          <w:marLeft w:val="0"/>
          <w:marRight w:val="0"/>
          <w:marTop w:val="0"/>
          <w:marBottom w:val="0"/>
          <w:divBdr>
            <w:top w:val="none" w:sz="0" w:space="0" w:color="auto"/>
            <w:left w:val="none" w:sz="0" w:space="0" w:color="auto"/>
            <w:bottom w:val="none" w:sz="0" w:space="0" w:color="auto"/>
            <w:right w:val="none" w:sz="0" w:space="0" w:color="auto"/>
          </w:divBdr>
          <w:divsChild>
            <w:div w:id="1265724882">
              <w:marLeft w:val="0"/>
              <w:marRight w:val="0"/>
              <w:marTop w:val="0"/>
              <w:marBottom w:val="0"/>
              <w:divBdr>
                <w:top w:val="none" w:sz="0" w:space="0" w:color="auto"/>
                <w:left w:val="none" w:sz="0" w:space="0" w:color="auto"/>
                <w:bottom w:val="none" w:sz="0" w:space="0" w:color="auto"/>
                <w:right w:val="none" w:sz="0" w:space="0" w:color="auto"/>
              </w:divBdr>
              <w:divsChild>
                <w:div w:id="617685537">
                  <w:marLeft w:val="0"/>
                  <w:marRight w:val="0"/>
                  <w:marTop w:val="0"/>
                  <w:marBottom w:val="0"/>
                  <w:divBdr>
                    <w:top w:val="none" w:sz="0" w:space="0" w:color="auto"/>
                    <w:left w:val="none" w:sz="0" w:space="0" w:color="auto"/>
                    <w:bottom w:val="none" w:sz="0" w:space="0" w:color="auto"/>
                    <w:right w:val="none" w:sz="0" w:space="0" w:color="auto"/>
                  </w:divBdr>
                  <w:divsChild>
                    <w:div w:id="812138531">
                      <w:marLeft w:val="0"/>
                      <w:marRight w:val="0"/>
                      <w:marTop w:val="0"/>
                      <w:marBottom w:val="0"/>
                      <w:divBdr>
                        <w:top w:val="none" w:sz="0" w:space="0" w:color="auto"/>
                        <w:left w:val="none" w:sz="0" w:space="0" w:color="auto"/>
                        <w:bottom w:val="none" w:sz="0" w:space="0" w:color="auto"/>
                        <w:right w:val="none" w:sz="0" w:space="0" w:color="auto"/>
                      </w:divBdr>
                      <w:divsChild>
                        <w:div w:id="190850702">
                          <w:marLeft w:val="0"/>
                          <w:marRight w:val="0"/>
                          <w:marTop w:val="0"/>
                          <w:marBottom w:val="0"/>
                          <w:divBdr>
                            <w:top w:val="none" w:sz="0" w:space="0" w:color="auto"/>
                            <w:left w:val="none" w:sz="0" w:space="0" w:color="auto"/>
                            <w:bottom w:val="none" w:sz="0" w:space="0" w:color="auto"/>
                            <w:right w:val="none" w:sz="0" w:space="0" w:color="auto"/>
                          </w:divBdr>
                          <w:divsChild>
                            <w:div w:id="450318322">
                              <w:marLeft w:val="0"/>
                              <w:marRight w:val="0"/>
                              <w:marTop w:val="0"/>
                              <w:marBottom w:val="0"/>
                              <w:divBdr>
                                <w:top w:val="none" w:sz="0" w:space="0" w:color="auto"/>
                                <w:left w:val="none" w:sz="0" w:space="0" w:color="auto"/>
                                <w:bottom w:val="none" w:sz="0" w:space="0" w:color="auto"/>
                                <w:right w:val="none" w:sz="0" w:space="0" w:color="auto"/>
                              </w:divBdr>
                              <w:divsChild>
                                <w:div w:id="1871525535">
                                  <w:marLeft w:val="0"/>
                                  <w:marRight w:val="0"/>
                                  <w:marTop w:val="0"/>
                                  <w:marBottom w:val="0"/>
                                  <w:divBdr>
                                    <w:top w:val="none" w:sz="0" w:space="0" w:color="auto"/>
                                    <w:left w:val="none" w:sz="0" w:space="0" w:color="auto"/>
                                    <w:bottom w:val="none" w:sz="0" w:space="0" w:color="auto"/>
                                    <w:right w:val="none" w:sz="0" w:space="0" w:color="auto"/>
                                  </w:divBdr>
                                  <w:divsChild>
                                    <w:div w:id="286543540">
                                      <w:marLeft w:val="0"/>
                                      <w:marRight w:val="0"/>
                                      <w:marTop w:val="0"/>
                                      <w:marBottom w:val="0"/>
                                      <w:divBdr>
                                        <w:top w:val="none" w:sz="0" w:space="0" w:color="auto"/>
                                        <w:left w:val="none" w:sz="0" w:space="0" w:color="auto"/>
                                        <w:bottom w:val="none" w:sz="0" w:space="0" w:color="auto"/>
                                        <w:right w:val="none" w:sz="0" w:space="0" w:color="auto"/>
                                      </w:divBdr>
                                      <w:divsChild>
                                        <w:div w:id="85206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3122440">
      <w:bodyDiv w:val="1"/>
      <w:marLeft w:val="0"/>
      <w:marRight w:val="0"/>
      <w:marTop w:val="0"/>
      <w:marBottom w:val="0"/>
      <w:divBdr>
        <w:top w:val="none" w:sz="0" w:space="0" w:color="auto"/>
        <w:left w:val="none" w:sz="0" w:space="0" w:color="auto"/>
        <w:bottom w:val="none" w:sz="0" w:space="0" w:color="auto"/>
        <w:right w:val="none" w:sz="0" w:space="0" w:color="auto"/>
      </w:divBdr>
    </w:div>
    <w:div w:id="1251351721">
      <w:bodyDiv w:val="1"/>
      <w:marLeft w:val="0"/>
      <w:marRight w:val="0"/>
      <w:marTop w:val="0"/>
      <w:marBottom w:val="0"/>
      <w:divBdr>
        <w:top w:val="none" w:sz="0" w:space="0" w:color="auto"/>
        <w:left w:val="none" w:sz="0" w:space="0" w:color="auto"/>
        <w:bottom w:val="none" w:sz="0" w:space="0" w:color="auto"/>
        <w:right w:val="none" w:sz="0" w:space="0" w:color="auto"/>
      </w:divBdr>
    </w:div>
    <w:div w:id="1861819192">
      <w:bodyDiv w:val="1"/>
      <w:marLeft w:val="0"/>
      <w:marRight w:val="0"/>
      <w:marTop w:val="0"/>
      <w:marBottom w:val="0"/>
      <w:divBdr>
        <w:top w:val="none" w:sz="0" w:space="0" w:color="auto"/>
        <w:left w:val="none" w:sz="0" w:space="0" w:color="auto"/>
        <w:bottom w:val="none" w:sz="0" w:space="0" w:color="auto"/>
        <w:right w:val="none" w:sz="0" w:space="0" w:color="auto"/>
      </w:divBdr>
    </w:div>
    <w:div w:id="1902061893">
      <w:bodyDiv w:val="1"/>
      <w:marLeft w:val="0"/>
      <w:marRight w:val="0"/>
      <w:marTop w:val="0"/>
      <w:marBottom w:val="0"/>
      <w:divBdr>
        <w:top w:val="none" w:sz="0" w:space="0" w:color="auto"/>
        <w:left w:val="none" w:sz="0" w:space="0" w:color="auto"/>
        <w:bottom w:val="none" w:sz="0" w:space="0" w:color="auto"/>
        <w:right w:val="none" w:sz="0" w:space="0" w:color="auto"/>
      </w:divBdr>
    </w:div>
    <w:div w:id="1941330953">
      <w:bodyDiv w:val="1"/>
      <w:marLeft w:val="0"/>
      <w:marRight w:val="0"/>
      <w:marTop w:val="0"/>
      <w:marBottom w:val="0"/>
      <w:divBdr>
        <w:top w:val="none" w:sz="0" w:space="0" w:color="auto"/>
        <w:left w:val="none" w:sz="0" w:space="0" w:color="auto"/>
        <w:bottom w:val="none" w:sz="0" w:space="0" w:color="auto"/>
        <w:right w:val="none" w:sz="0" w:space="0" w:color="auto"/>
      </w:divBdr>
    </w:div>
    <w:div w:id="1954361738">
      <w:bodyDiv w:val="1"/>
      <w:marLeft w:val="0"/>
      <w:marRight w:val="0"/>
      <w:marTop w:val="0"/>
      <w:marBottom w:val="0"/>
      <w:divBdr>
        <w:top w:val="none" w:sz="0" w:space="0" w:color="auto"/>
        <w:left w:val="none" w:sz="0" w:space="0" w:color="auto"/>
        <w:bottom w:val="none" w:sz="0" w:space="0" w:color="auto"/>
        <w:right w:val="none" w:sz="0" w:space="0" w:color="auto"/>
      </w:divBdr>
    </w:div>
    <w:div w:id="211840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da.gov/drugs/drugsafety/postmarketdrugsafetyinformationforpatientsandproviders/ucm124830.htm" TargetMode="External"/><Relationship Id="rId18" Type="http://schemas.openxmlformats.org/officeDocument/2006/relationships/hyperlink" Target="http://www.cms.gov/Regulations-and-Guidance/Guidance/Manuals/downloads/som107ap_pp_guidelines_ltcf.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cms.gov/manuals/downloads/som107ap_pp_guidelines_ltcf.pdf" TargetMode="External"/><Relationship Id="rId7" Type="http://schemas.openxmlformats.org/officeDocument/2006/relationships/styles" Target="styles.xml"/><Relationship Id="rId12" Type="http://schemas.openxmlformats.org/officeDocument/2006/relationships/hyperlink" Target="http://www.cms.hhs.gov/NursingHomeQualityInits/25_NHQIMDS30.asp" TargetMode="External"/><Relationship Id="rId17" Type="http://schemas.openxmlformats.org/officeDocument/2006/relationships/hyperlink" Target="http://www.cms.gov/manuals/downloads/som107ap_pp_guidelines_ltcf.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fda.gov/drugs/drugsafety/postmarketdrugsafetyinformationforpatientsandproviders/ucm124830.htm" TargetMode="External"/><Relationship Id="rId20" Type="http://schemas.openxmlformats.org/officeDocument/2006/relationships/hyperlink" Target="http://www.fda.gov/drugs/drugsafety/postmarketdrugsafetyinformationforpatientsandproviders/ucm124830.htm"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rtimas04\hser\Project\0211942\001%20%20MIDS-NHQ\002%20Measure%20Development\common\Antipsychotic%20drugs\www.medicare.gov\nhcompare\" TargetMode="External"/><Relationship Id="rId5" Type="http://schemas.openxmlformats.org/officeDocument/2006/relationships/customXml" Target="../customXml/item5.xml"/><Relationship Id="rId15" Type="http://schemas.openxmlformats.org/officeDocument/2006/relationships/hyperlink" Target="http://www.fda.gov/drugs/drugsafety/postmarketdrugsafetyinformationforpatientsandproviders/ucm124830.htm" TargetMode="External"/><Relationship Id="rId23" Type="http://schemas.openxmlformats.org/officeDocument/2006/relationships/hyperlink" Target="http://www.cms.hhs.gov/NursingHomeQualityInits/Downloads/MDS30FinalReport.pdf"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fda.gov/drugs/drugsafety/postmarketdrugsafetyinformationforpatientsandproviders/ucm124830.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ms.gov/Regulations-and-Guidance/Guidance/Manuals/downloads/som107ap_pp_guidelines_ltcf.pdf" TargetMode="External"/><Relationship Id="rId22" Type="http://schemas.openxmlformats.org/officeDocument/2006/relationships/hyperlink" Target="http://www.cms.hhs.gov/NursingHomeQualityInits/Downloads/MDS30FinalReport.pdf"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0ca7ec5-bf54-4716-ae96-f6d2d93e0af7">WFWHHRAFATN7-298-237</_dlc_DocId>
    <_dlc_DocIdUrl xmlns="00ca7ec5-bf54-4716-ae96-f6d2d93e0af7">
      <Url>https://teams.hsag.com/mgnt/medmeasures/Standardizing BP terminology and names/_layouts/DocIdRedir.aspx?ID=WFWHHRAFATN7-298-237</Url>
      <Description>WFWHHRAFATN7-298-237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5DC92F81A7F2449F62FFD8481230CF" ma:contentTypeVersion="0" ma:contentTypeDescription="Create a new document." ma:contentTypeScope="" ma:versionID="4639a68f65cd52c56ff00f2ef7b40758">
  <xsd:schema xmlns:xsd="http://www.w3.org/2001/XMLSchema" xmlns:xs="http://www.w3.org/2001/XMLSchema" xmlns:p="http://schemas.microsoft.com/office/2006/metadata/properties" xmlns:ns2="00ca7ec5-bf54-4716-ae96-f6d2d93e0af7" targetNamespace="http://schemas.microsoft.com/office/2006/metadata/properties" ma:root="true" ma:fieldsID="6c27ed29dab7692fbca016d6de2ceed0" ns2:_="">
    <xsd:import namespace="00ca7ec5-bf54-4716-ae96-f6d2d93e0af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a7ec5-bf54-4716-ae96-f6d2d93e0af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39523-71B9-42C2-81D9-79A9DF109C33}">
  <ds:schemaRefs>
    <ds:schemaRef ds:uri="http://schemas.microsoft.com/sharepoint/events"/>
  </ds:schemaRefs>
</ds:datastoreItem>
</file>

<file path=customXml/itemProps2.xml><?xml version="1.0" encoding="utf-8"?>
<ds:datastoreItem xmlns:ds="http://schemas.openxmlformats.org/officeDocument/2006/customXml" ds:itemID="{5B64CADD-943E-42DB-9A17-1552B8B55CBB}">
  <ds:schemaRefs>
    <ds:schemaRef ds:uri="http://schemas.microsoft.com/sharepoint/v3/contenttype/forms"/>
  </ds:schemaRefs>
</ds:datastoreItem>
</file>

<file path=customXml/itemProps3.xml><?xml version="1.0" encoding="utf-8"?>
<ds:datastoreItem xmlns:ds="http://schemas.openxmlformats.org/officeDocument/2006/customXml" ds:itemID="{BBD61859-8D78-4335-83C0-73F1D0226062}">
  <ds:schemaRefs>
    <ds:schemaRef ds:uri="http://schemas.openxmlformats.org/package/2006/metadata/core-properties"/>
    <ds:schemaRef ds:uri="http://purl.org/dc/elements/1.1/"/>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00ca7ec5-bf54-4716-ae96-f6d2d93e0af7"/>
    <ds:schemaRef ds:uri="http://www.w3.org/XML/1998/namespace"/>
  </ds:schemaRefs>
</ds:datastoreItem>
</file>

<file path=customXml/itemProps4.xml><?xml version="1.0" encoding="utf-8"?>
<ds:datastoreItem xmlns:ds="http://schemas.openxmlformats.org/officeDocument/2006/customXml" ds:itemID="{A15385D7-A5EA-49F7-B274-A1362BEAC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a7ec5-bf54-4716-ae96-f6d2d93e0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076739-2AD7-486C-8A6A-76A2EA42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14523</Words>
  <Characters>82784</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Health Services Advisory Group</Company>
  <LinksUpToDate>false</LinksUpToDate>
  <CharactersWithSpaces>97113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L. Pry</dc:creator>
  <cp:lastModifiedBy>kreilly</cp:lastModifiedBy>
  <cp:revision>2</cp:revision>
  <cp:lastPrinted>2012-08-29T18:54:00Z</cp:lastPrinted>
  <dcterms:created xsi:type="dcterms:W3CDTF">2013-02-15T20:15:00Z</dcterms:created>
  <dcterms:modified xsi:type="dcterms:W3CDTF">2013-02-15T20:15:00Z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0x010100675DC92F81A7F2449F62FFD8481230CF</vt:lpwstr>
  </property>
  <property fmtid="{D5CDD505-2E9C-101B-9397-08002B2CF9AE}" pid="3" name="_dlc_DocIdItemGuid">
    <vt:lpwstr>816bde3d-2254-42e0-848e-d98d2ca0520e</vt:lpwstr>
  </property>
</Properties>
</file>